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8473" w14:textId="1FCEF503" w:rsidR="00370977" w:rsidRDefault="00370977" w:rsidP="00BE3C54">
      <w:pPr>
        <w:spacing w:after="240" w:line="240" w:lineRule="auto"/>
        <w:rPr>
          <w:rFonts w:ascii="Arial" w:hAnsi="Arial" w:cs="Arial"/>
          <w:b/>
          <w:u w:val="single"/>
          <w:lang w:val="en-GB"/>
        </w:rPr>
      </w:pPr>
      <w:r>
        <w:rPr>
          <w:rFonts w:ascii="Arial" w:hAnsi="Arial" w:cs="Arial"/>
          <w:b/>
          <w:bCs/>
          <w:noProof/>
          <w:sz w:val="28"/>
        </w:rPr>
        <w:drawing>
          <wp:anchor distT="0" distB="0" distL="114300" distR="114300" simplePos="0" relativeHeight="251659264" behindDoc="0" locked="0" layoutInCell="1" allowOverlap="1" wp14:anchorId="619A47A2" wp14:editId="3ED23059">
            <wp:simplePos x="0" y="0"/>
            <wp:positionH relativeFrom="margin">
              <wp:align>center</wp:align>
            </wp:positionH>
            <wp:positionV relativeFrom="paragraph">
              <wp:posOffset>9525</wp:posOffset>
            </wp:positionV>
            <wp:extent cx="1609725" cy="7692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Si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769289"/>
                    </a:xfrm>
                    <a:prstGeom prst="rect">
                      <a:avLst/>
                    </a:prstGeom>
                  </pic:spPr>
                </pic:pic>
              </a:graphicData>
            </a:graphic>
          </wp:anchor>
        </w:drawing>
      </w:r>
    </w:p>
    <w:p w14:paraId="578E7F8E" w14:textId="77777777" w:rsidR="00370977" w:rsidRDefault="00370977" w:rsidP="00BE3C54">
      <w:pPr>
        <w:spacing w:after="240" w:line="240" w:lineRule="auto"/>
        <w:rPr>
          <w:rFonts w:ascii="Arial" w:hAnsi="Arial" w:cs="Arial"/>
          <w:b/>
          <w:u w:val="single"/>
          <w:lang w:val="en-GB"/>
        </w:rPr>
      </w:pPr>
    </w:p>
    <w:p w14:paraId="3C52ACA8" w14:textId="77777777" w:rsidR="00370977" w:rsidRDefault="00370977" w:rsidP="00BE3C54">
      <w:pPr>
        <w:spacing w:after="240" w:line="240" w:lineRule="auto"/>
        <w:rPr>
          <w:rFonts w:ascii="Arial" w:hAnsi="Arial" w:cs="Arial"/>
          <w:b/>
          <w:u w:val="single"/>
          <w:lang w:val="en-GB"/>
        </w:rPr>
      </w:pPr>
    </w:p>
    <w:p w14:paraId="1A608E46" w14:textId="386B886D" w:rsidR="00BE3C54" w:rsidRPr="00370977" w:rsidRDefault="00C50B2E" w:rsidP="00370977">
      <w:pPr>
        <w:spacing w:after="240" w:line="240" w:lineRule="auto"/>
        <w:jc w:val="center"/>
        <w:rPr>
          <w:rFonts w:ascii="Arial" w:hAnsi="Arial" w:cs="Arial"/>
          <w:b/>
          <w:sz w:val="28"/>
          <w:u w:val="single"/>
          <w:lang w:val="en-GB"/>
        </w:rPr>
      </w:pPr>
      <w:r w:rsidRPr="00370977">
        <w:rPr>
          <w:rFonts w:ascii="Arial" w:hAnsi="Arial" w:cs="Arial"/>
          <w:b/>
          <w:sz w:val="28"/>
          <w:u w:val="single"/>
          <w:lang w:val="en-GB"/>
        </w:rPr>
        <w:t xml:space="preserve">MEMBER </w:t>
      </w:r>
      <w:r w:rsidR="00C3112A" w:rsidRPr="00370977">
        <w:rPr>
          <w:rFonts w:ascii="Arial" w:hAnsi="Arial" w:cs="Arial"/>
          <w:b/>
          <w:sz w:val="28"/>
          <w:u w:val="single"/>
          <w:lang w:val="en-GB"/>
        </w:rPr>
        <w:t>ENGAGEMENT</w:t>
      </w:r>
      <w:r w:rsidR="00BE3C54" w:rsidRPr="00370977">
        <w:rPr>
          <w:rFonts w:ascii="Arial" w:hAnsi="Arial" w:cs="Arial"/>
          <w:b/>
          <w:sz w:val="28"/>
          <w:u w:val="single"/>
          <w:lang w:val="en-GB"/>
        </w:rPr>
        <w:t xml:space="preserve"> </w:t>
      </w:r>
      <w:r w:rsidRPr="00370977">
        <w:rPr>
          <w:rFonts w:ascii="Arial" w:hAnsi="Arial" w:cs="Arial"/>
          <w:b/>
          <w:sz w:val="28"/>
          <w:u w:val="single"/>
          <w:lang w:val="en-GB"/>
        </w:rPr>
        <w:t xml:space="preserve">&amp; CONDUCT </w:t>
      </w:r>
      <w:r w:rsidR="00BE3C54" w:rsidRPr="00370977">
        <w:rPr>
          <w:rFonts w:ascii="Arial" w:hAnsi="Arial" w:cs="Arial"/>
          <w:b/>
          <w:sz w:val="28"/>
          <w:u w:val="single"/>
          <w:lang w:val="en-GB"/>
        </w:rPr>
        <w:t xml:space="preserve">COMMITTEE </w:t>
      </w:r>
      <w:r w:rsidRPr="00370977">
        <w:rPr>
          <w:rFonts w:ascii="Arial" w:hAnsi="Arial" w:cs="Arial"/>
          <w:b/>
          <w:sz w:val="28"/>
          <w:u w:val="single"/>
          <w:lang w:val="en-GB"/>
        </w:rPr>
        <w:t>(MEC</w:t>
      </w:r>
      <w:r w:rsidR="00D844E3" w:rsidRPr="00370977">
        <w:rPr>
          <w:rFonts w:ascii="Arial" w:hAnsi="Arial" w:cs="Arial"/>
          <w:b/>
          <w:sz w:val="28"/>
          <w:u w:val="single"/>
          <w:lang w:val="en-GB"/>
        </w:rPr>
        <w:t>C</w:t>
      </w:r>
      <w:r w:rsidRPr="00370977">
        <w:rPr>
          <w:rFonts w:ascii="Arial" w:hAnsi="Arial" w:cs="Arial"/>
          <w:b/>
          <w:sz w:val="28"/>
          <w:u w:val="single"/>
          <w:lang w:val="en-GB"/>
        </w:rPr>
        <w:t xml:space="preserve">) </w:t>
      </w:r>
      <w:r w:rsidR="00BE3C54" w:rsidRPr="00370977">
        <w:rPr>
          <w:rFonts w:ascii="Arial" w:hAnsi="Arial" w:cs="Arial"/>
          <w:b/>
          <w:sz w:val="28"/>
          <w:u w:val="single"/>
          <w:lang w:val="en-GB"/>
        </w:rPr>
        <w:t>– TERMS OF REFERENCE</w:t>
      </w:r>
    </w:p>
    <w:p w14:paraId="053EE375" w14:textId="77777777" w:rsidR="00BE3C54" w:rsidRPr="00F46A04" w:rsidRDefault="00BE3C54" w:rsidP="00BE3C54">
      <w:pPr>
        <w:spacing w:after="240" w:line="240" w:lineRule="auto"/>
        <w:rPr>
          <w:rFonts w:ascii="Arial" w:hAnsi="Arial" w:cs="Arial"/>
          <w:u w:val="single"/>
          <w:lang w:val="en-GB"/>
        </w:rPr>
      </w:pPr>
      <w:bookmarkStart w:id="0" w:name="_GoBack"/>
      <w:bookmarkEnd w:id="0"/>
    </w:p>
    <w:p w14:paraId="58A8B2AE" w14:textId="77777777" w:rsidR="00BE3C54" w:rsidRDefault="00BE3C54" w:rsidP="00BE3C54">
      <w:pPr>
        <w:numPr>
          <w:ilvl w:val="0"/>
          <w:numId w:val="4"/>
        </w:numPr>
        <w:spacing w:after="240" w:line="240" w:lineRule="auto"/>
        <w:rPr>
          <w:rFonts w:ascii="Arial" w:hAnsi="Arial" w:cs="Arial"/>
          <w:u w:val="single"/>
          <w:lang w:val="en-GB"/>
        </w:rPr>
      </w:pPr>
      <w:r w:rsidRPr="00F46A04">
        <w:rPr>
          <w:rFonts w:ascii="Arial" w:hAnsi="Arial" w:cs="Arial"/>
          <w:u w:val="single"/>
          <w:lang w:val="en-GB"/>
        </w:rPr>
        <w:t>Membership &amp; Attendance</w:t>
      </w:r>
    </w:p>
    <w:p w14:paraId="31DD8B0E" w14:textId="77777777" w:rsidR="00D540BA" w:rsidRDefault="00D540BA" w:rsidP="00D540BA">
      <w:pPr>
        <w:jc w:val="both"/>
        <w:rPr>
          <w:rFonts w:ascii="Arial" w:hAnsi="Arial" w:cs="Arial"/>
        </w:rPr>
      </w:pPr>
      <w:r>
        <w:rPr>
          <w:rFonts w:ascii="Arial" w:hAnsi="Arial" w:cs="Arial"/>
        </w:rPr>
        <w:t>The Chairman and members of the Committee shall be appointed by the Board from amongst the non-executive Directors.  The Committee Members will normally include:</w:t>
      </w:r>
    </w:p>
    <w:p w14:paraId="0FD128AA" w14:textId="77777777" w:rsidR="00D540BA" w:rsidRDefault="00D540BA" w:rsidP="00D540BA">
      <w:pPr>
        <w:numPr>
          <w:ilvl w:val="0"/>
          <w:numId w:val="2"/>
        </w:numPr>
        <w:spacing w:after="0" w:line="240" w:lineRule="auto"/>
        <w:jc w:val="both"/>
        <w:rPr>
          <w:rFonts w:ascii="Arial" w:hAnsi="Arial" w:cs="Arial"/>
        </w:rPr>
      </w:pPr>
      <w:r w:rsidRPr="00A03F03">
        <w:rPr>
          <w:rFonts w:ascii="Arial" w:hAnsi="Arial" w:cs="Arial"/>
        </w:rPr>
        <w:t>t</w:t>
      </w:r>
      <w:r>
        <w:rPr>
          <w:rFonts w:ascii="Arial" w:hAnsi="Arial" w:cs="Arial"/>
        </w:rPr>
        <w:t>wo</w:t>
      </w:r>
      <w:r w:rsidRPr="00A03F03">
        <w:rPr>
          <w:rFonts w:ascii="Arial" w:hAnsi="Arial" w:cs="Arial"/>
        </w:rPr>
        <w:t xml:space="preserve"> other</w:t>
      </w:r>
      <w:r>
        <w:rPr>
          <w:rFonts w:ascii="Arial" w:hAnsi="Arial" w:cs="Arial"/>
        </w:rPr>
        <w:t xml:space="preserve"> non-executive Directors </w:t>
      </w:r>
    </w:p>
    <w:p w14:paraId="6611C6FD" w14:textId="77777777" w:rsidR="00D540BA" w:rsidRDefault="00D540BA" w:rsidP="00D540BA">
      <w:pPr>
        <w:numPr>
          <w:ilvl w:val="0"/>
          <w:numId w:val="2"/>
        </w:numPr>
        <w:spacing w:after="0" w:line="240" w:lineRule="auto"/>
        <w:jc w:val="both"/>
        <w:rPr>
          <w:rFonts w:ascii="Arial" w:hAnsi="Arial" w:cs="Arial"/>
        </w:rPr>
      </w:pPr>
      <w:r>
        <w:rPr>
          <w:rFonts w:ascii="Arial" w:hAnsi="Arial" w:cs="Arial"/>
        </w:rPr>
        <w:t>Chief Executive</w:t>
      </w:r>
    </w:p>
    <w:p w14:paraId="530BD1D1" w14:textId="0A96249D" w:rsidR="00D540BA" w:rsidRDefault="00ED0D5B" w:rsidP="00D540BA">
      <w:pPr>
        <w:numPr>
          <w:ilvl w:val="0"/>
          <w:numId w:val="2"/>
        </w:numPr>
        <w:spacing w:after="0" w:line="240" w:lineRule="auto"/>
        <w:jc w:val="both"/>
        <w:rPr>
          <w:rFonts w:ascii="Arial" w:hAnsi="Arial" w:cs="Arial"/>
        </w:rPr>
      </w:pPr>
      <w:r>
        <w:rPr>
          <w:rFonts w:ascii="Arial" w:hAnsi="Arial" w:cs="Arial"/>
        </w:rPr>
        <w:t>Operations</w:t>
      </w:r>
      <w:r w:rsidR="00D540BA">
        <w:rPr>
          <w:rFonts w:ascii="Arial" w:hAnsi="Arial" w:cs="Arial"/>
        </w:rPr>
        <w:t xml:space="preserve"> Director</w:t>
      </w:r>
    </w:p>
    <w:p w14:paraId="569AE93E" w14:textId="77777777" w:rsidR="00ED0D5B" w:rsidRDefault="00ED0D5B" w:rsidP="00D540BA">
      <w:pPr>
        <w:jc w:val="both"/>
        <w:rPr>
          <w:rFonts w:ascii="Arial" w:hAnsi="Arial" w:cs="Arial"/>
        </w:rPr>
      </w:pPr>
    </w:p>
    <w:p w14:paraId="6836E5D3" w14:textId="71975B6A" w:rsidR="00D540BA" w:rsidRDefault="00D540BA" w:rsidP="00D540BA">
      <w:pPr>
        <w:jc w:val="both"/>
        <w:rPr>
          <w:rFonts w:ascii="Arial" w:hAnsi="Arial" w:cs="Arial"/>
        </w:rPr>
      </w:pPr>
      <w:r>
        <w:rPr>
          <w:rFonts w:ascii="Arial" w:hAnsi="Arial" w:cs="Arial"/>
        </w:rPr>
        <w:t>The quorum shall be three, two of which shall be NEDs. In the event of the unavailability of two NEDs then another NED may be co-opted for the meeting. At least one Executive Director must be in attendance.</w:t>
      </w:r>
    </w:p>
    <w:p w14:paraId="4E4CBE61" w14:textId="570F7221" w:rsidR="00D540BA" w:rsidRDefault="00D540BA" w:rsidP="00D540BA">
      <w:pPr>
        <w:jc w:val="both"/>
        <w:rPr>
          <w:rFonts w:ascii="Arial" w:hAnsi="Arial" w:cs="Arial"/>
        </w:rPr>
      </w:pPr>
      <w:r w:rsidRPr="000E3D6A">
        <w:rPr>
          <w:rFonts w:ascii="Arial" w:hAnsi="Arial" w:cs="Arial"/>
        </w:rPr>
        <w:t xml:space="preserve">The members of the </w:t>
      </w:r>
      <w:r>
        <w:rPr>
          <w:rFonts w:ascii="Arial" w:hAnsi="Arial" w:cs="Arial"/>
        </w:rPr>
        <w:t>Member Engagement and Conduct</w:t>
      </w:r>
      <w:r w:rsidRPr="000E3D6A">
        <w:rPr>
          <w:rFonts w:ascii="Arial" w:hAnsi="Arial" w:cs="Arial"/>
        </w:rPr>
        <w:t xml:space="preserve"> Committee should attend all scheduled meetings.  In addition to </w:t>
      </w:r>
      <w:r>
        <w:rPr>
          <w:rFonts w:ascii="Arial" w:hAnsi="Arial" w:cs="Arial"/>
        </w:rPr>
        <w:t>members of the MEC</w:t>
      </w:r>
      <w:r w:rsidRPr="000E3D6A">
        <w:rPr>
          <w:rFonts w:ascii="Arial" w:hAnsi="Arial" w:cs="Arial"/>
        </w:rPr>
        <w:t>C, other attendees may be invited to the Committee.  Any member of the Committee may ask the Chairman to invite specific individuals to address topics which will aid the Committee’s understanding.</w:t>
      </w:r>
    </w:p>
    <w:p w14:paraId="67D4A61A" w14:textId="126CE6E9" w:rsidR="00D540BA" w:rsidRDefault="00D540BA" w:rsidP="00D540BA">
      <w:pPr>
        <w:jc w:val="both"/>
        <w:rPr>
          <w:rFonts w:ascii="Arial" w:hAnsi="Arial" w:cs="Arial"/>
        </w:rPr>
      </w:pPr>
      <w:r>
        <w:rPr>
          <w:rFonts w:ascii="Arial" w:hAnsi="Arial" w:cs="Arial"/>
        </w:rPr>
        <w:t xml:space="preserve">The </w:t>
      </w:r>
      <w:r w:rsidR="00163D62">
        <w:rPr>
          <w:rFonts w:ascii="Arial" w:hAnsi="Arial" w:cs="Arial"/>
        </w:rPr>
        <w:t>Chief Risk Officer, Chief Information Officer</w:t>
      </w:r>
      <w:r>
        <w:rPr>
          <w:rFonts w:ascii="Arial" w:hAnsi="Arial" w:cs="Arial"/>
        </w:rPr>
        <w:t xml:space="preserve"> and the Head of Conduct </w:t>
      </w:r>
      <w:r w:rsidR="00163D62">
        <w:rPr>
          <w:rFonts w:ascii="Arial" w:hAnsi="Arial" w:cs="Arial"/>
        </w:rPr>
        <w:t>and Compliance</w:t>
      </w:r>
      <w:r>
        <w:rPr>
          <w:rFonts w:ascii="Arial" w:hAnsi="Arial" w:cs="Arial"/>
        </w:rPr>
        <w:t xml:space="preserve"> are not Committee members but attend. O</w:t>
      </w:r>
      <w:r w:rsidRPr="00A03F03">
        <w:rPr>
          <w:rFonts w:ascii="Arial" w:hAnsi="Arial" w:cs="Arial"/>
        </w:rPr>
        <w:t xml:space="preserve">ther individuals such as the </w:t>
      </w:r>
      <w:r>
        <w:rPr>
          <w:rFonts w:ascii="Arial" w:hAnsi="Arial" w:cs="Arial"/>
        </w:rPr>
        <w:t>other Non-executive Directors</w:t>
      </w:r>
      <w:r w:rsidRPr="00A03F03">
        <w:rPr>
          <w:rFonts w:ascii="Arial" w:hAnsi="Arial" w:cs="Arial"/>
        </w:rPr>
        <w:t>,</w:t>
      </w:r>
      <w:r>
        <w:rPr>
          <w:rFonts w:ascii="Arial" w:hAnsi="Arial" w:cs="Arial"/>
        </w:rPr>
        <w:t xml:space="preserve"> or other members of the management team and external advisors may also attend meetings as appropriate with the permission of the Chairman of the Committee which will not be unreasonably withheld. </w:t>
      </w:r>
    </w:p>
    <w:p w14:paraId="70F390C2" w14:textId="77777777" w:rsidR="00BE3C54" w:rsidRDefault="00BE3C54" w:rsidP="00BE3C54">
      <w:pPr>
        <w:numPr>
          <w:ilvl w:val="0"/>
          <w:numId w:val="4"/>
        </w:numPr>
        <w:spacing w:after="240" w:line="240" w:lineRule="auto"/>
        <w:rPr>
          <w:rFonts w:ascii="Arial" w:hAnsi="Arial" w:cs="Arial"/>
          <w:u w:val="single"/>
          <w:lang w:val="en-GB"/>
        </w:rPr>
      </w:pPr>
      <w:r w:rsidRPr="00F46A04">
        <w:rPr>
          <w:rFonts w:ascii="Arial" w:hAnsi="Arial" w:cs="Arial"/>
          <w:u w:val="single"/>
          <w:lang w:val="en-GB"/>
        </w:rPr>
        <w:t>Secretary</w:t>
      </w:r>
    </w:p>
    <w:p w14:paraId="4B055D5C" w14:textId="77777777" w:rsidR="00BE3C54" w:rsidRPr="00F46A04" w:rsidRDefault="00BE3C54" w:rsidP="00BE3C54">
      <w:pPr>
        <w:spacing w:after="240" w:line="240" w:lineRule="auto"/>
        <w:rPr>
          <w:rFonts w:ascii="Arial" w:hAnsi="Arial" w:cs="Arial"/>
          <w:lang w:val="en-GB"/>
        </w:rPr>
      </w:pPr>
      <w:r w:rsidRPr="00F46A04">
        <w:rPr>
          <w:rFonts w:ascii="Arial" w:hAnsi="Arial" w:cs="Arial"/>
          <w:lang w:val="en-GB"/>
        </w:rPr>
        <w:t xml:space="preserve">The Society Secretary or, with the agreement of the Chairman, his nominee shall act as the secretary of the Committee. </w:t>
      </w:r>
    </w:p>
    <w:p w14:paraId="27341F41" w14:textId="77777777" w:rsidR="00BE3C54" w:rsidRDefault="00BE3C54" w:rsidP="00BE3C54">
      <w:pPr>
        <w:numPr>
          <w:ilvl w:val="0"/>
          <w:numId w:val="4"/>
        </w:numPr>
        <w:spacing w:after="240" w:line="240" w:lineRule="auto"/>
        <w:rPr>
          <w:rFonts w:ascii="Arial" w:hAnsi="Arial" w:cs="Arial"/>
          <w:u w:val="single"/>
          <w:lang w:val="en-GB"/>
        </w:rPr>
      </w:pPr>
      <w:r w:rsidRPr="00F46A04">
        <w:rPr>
          <w:rFonts w:ascii="Arial" w:hAnsi="Arial" w:cs="Arial"/>
          <w:u w:val="single"/>
          <w:lang w:val="en-GB"/>
        </w:rPr>
        <w:t>Frequency of Meetings</w:t>
      </w:r>
    </w:p>
    <w:p w14:paraId="159FDA9B" w14:textId="301930B4" w:rsidR="00BE3C54" w:rsidRPr="00F46A04" w:rsidRDefault="00BE3C54" w:rsidP="00BE3C54">
      <w:pPr>
        <w:spacing w:after="240" w:line="240" w:lineRule="auto"/>
        <w:rPr>
          <w:rFonts w:ascii="Arial" w:hAnsi="Arial" w:cs="Arial"/>
          <w:lang w:val="en-GB"/>
        </w:rPr>
      </w:pPr>
      <w:r w:rsidRPr="00F46A04">
        <w:rPr>
          <w:rFonts w:ascii="Arial" w:hAnsi="Arial" w:cs="Arial"/>
          <w:lang w:val="en-GB"/>
        </w:rPr>
        <w:t>The C</w:t>
      </w:r>
      <w:r w:rsidR="00C50B2E">
        <w:rPr>
          <w:rFonts w:ascii="Arial" w:hAnsi="Arial" w:cs="Arial"/>
          <w:lang w:val="en-GB"/>
        </w:rPr>
        <w:t>ommittee</w:t>
      </w:r>
      <w:r w:rsidRPr="00F46A04">
        <w:rPr>
          <w:rFonts w:ascii="Arial" w:hAnsi="Arial" w:cs="Arial"/>
          <w:lang w:val="en-GB"/>
        </w:rPr>
        <w:t xml:space="preserve"> shall normally meet at least four times per annum, unless otherwise agreed by the Committee. </w:t>
      </w:r>
      <w:r w:rsidR="00D540BA" w:rsidRPr="00F46A04">
        <w:rPr>
          <w:rFonts w:ascii="Arial" w:hAnsi="Arial" w:cs="Arial"/>
          <w:lang w:val="en-GB"/>
        </w:rPr>
        <w:t>The Committee</w:t>
      </w:r>
      <w:r w:rsidRPr="00F46A04">
        <w:rPr>
          <w:rFonts w:ascii="Arial" w:hAnsi="Arial" w:cs="Arial"/>
          <w:lang w:val="en-GB"/>
        </w:rPr>
        <w:t xml:space="preserve"> Chairman</w:t>
      </w:r>
      <w:r w:rsidR="00C50B2E">
        <w:rPr>
          <w:rFonts w:ascii="Arial" w:hAnsi="Arial" w:cs="Arial"/>
          <w:lang w:val="en-GB"/>
        </w:rPr>
        <w:t xml:space="preserve"> and members</w:t>
      </w:r>
      <w:r w:rsidRPr="00F46A04">
        <w:rPr>
          <w:rFonts w:ascii="Arial" w:hAnsi="Arial" w:cs="Arial"/>
          <w:lang w:val="en-GB"/>
        </w:rPr>
        <w:t xml:space="preserve"> agree a programme of dates and agendas at the start of each year.</w:t>
      </w:r>
    </w:p>
    <w:p w14:paraId="0E7C024B" w14:textId="77777777" w:rsidR="00BE3C54" w:rsidRDefault="00BE3C54" w:rsidP="00BE3C54">
      <w:pPr>
        <w:numPr>
          <w:ilvl w:val="0"/>
          <w:numId w:val="4"/>
        </w:numPr>
        <w:spacing w:after="240" w:line="240" w:lineRule="auto"/>
        <w:rPr>
          <w:rFonts w:ascii="Arial" w:hAnsi="Arial" w:cs="Arial"/>
          <w:u w:val="single"/>
          <w:lang w:val="en-GB"/>
        </w:rPr>
      </w:pPr>
      <w:r w:rsidRPr="00F46A04">
        <w:rPr>
          <w:rFonts w:ascii="Arial" w:hAnsi="Arial" w:cs="Arial"/>
          <w:u w:val="single"/>
          <w:lang w:val="en-GB"/>
        </w:rPr>
        <w:t>Minutes of Meetings</w:t>
      </w:r>
    </w:p>
    <w:p w14:paraId="4670A7F3" w14:textId="77777777" w:rsidR="00BE3C54" w:rsidRPr="00F46A04" w:rsidRDefault="00BE3C54" w:rsidP="00BE3C54">
      <w:pPr>
        <w:spacing w:after="240" w:line="240" w:lineRule="auto"/>
        <w:rPr>
          <w:rFonts w:ascii="Arial" w:hAnsi="Arial" w:cs="Arial"/>
          <w:lang w:val="en-GB"/>
        </w:rPr>
      </w:pPr>
      <w:r w:rsidRPr="00F46A04">
        <w:rPr>
          <w:rFonts w:ascii="Arial" w:hAnsi="Arial" w:cs="Arial"/>
          <w:lang w:val="en-GB"/>
        </w:rPr>
        <w:t>The Secretary of the Committee shall minute the proceedings and resolutions of all meetings of the Committee.</w:t>
      </w:r>
    </w:p>
    <w:p w14:paraId="6AE7F1A9" w14:textId="77777777" w:rsidR="00BE3C54" w:rsidRPr="00F46A04" w:rsidRDefault="00BE3C54" w:rsidP="00BE3C54">
      <w:pPr>
        <w:spacing w:after="240" w:line="240" w:lineRule="auto"/>
        <w:rPr>
          <w:rFonts w:ascii="Arial" w:hAnsi="Arial" w:cs="Arial"/>
          <w:lang w:val="en-GB"/>
        </w:rPr>
      </w:pPr>
      <w:r w:rsidRPr="00F46A04">
        <w:rPr>
          <w:rFonts w:ascii="Arial" w:hAnsi="Arial" w:cs="Arial"/>
          <w:lang w:val="en-GB"/>
        </w:rPr>
        <w:t xml:space="preserve">Any changes to the Declaration of Interest Log, or conflicts of interest declared that are specific to items on the agenda for a meeting will be </w:t>
      </w:r>
      <w:proofErr w:type="spellStart"/>
      <w:r w:rsidRPr="00F46A04">
        <w:rPr>
          <w:rFonts w:ascii="Arial" w:hAnsi="Arial" w:cs="Arial"/>
          <w:lang w:val="en-GB"/>
        </w:rPr>
        <w:t>minuted</w:t>
      </w:r>
      <w:proofErr w:type="spellEnd"/>
      <w:r w:rsidRPr="00F46A04">
        <w:rPr>
          <w:rFonts w:ascii="Arial" w:hAnsi="Arial" w:cs="Arial"/>
          <w:lang w:val="en-GB"/>
        </w:rPr>
        <w:t>.  Minutes of all Committee meetings shall be made available to the Board.</w:t>
      </w:r>
    </w:p>
    <w:p w14:paraId="243481B7" w14:textId="77777777" w:rsidR="00BE3C54" w:rsidRDefault="00BE3C54" w:rsidP="00BE3C54">
      <w:pPr>
        <w:numPr>
          <w:ilvl w:val="0"/>
          <w:numId w:val="4"/>
        </w:numPr>
        <w:spacing w:after="240" w:line="240" w:lineRule="auto"/>
        <w:rPr>
          <w:rFonts w:ascii="Arial" w:hAnsi="Arial" w:cs="Arial"/>
          <w:u w:val="single"/>
          <w:lang w:val="en-GB"/>
        </w:rPr>
      </w:pPr>
      <w:r w:rsidRPr="00F46A04">
        <w:rPr>
          <w:rFonts w:ascii="Arial" w:hAnsi="Arial" w:cs="Arial"/>
          <w:u w:val="single"/>
          <w:lang w:val="en-GB"/>
        </w:rPr>
        <w:lastRenderedPageBreak/>
        <w:t>Authority</w:t>
      </w:r>
    </w:p>
    <w:p w14:paraId="0D60FE15" w14:textId="77777777" w:rsidR="00BE3C54" w:rsidRPr="00F46A04" w:rsidRDefault="00BE3C54" w:rsidP="00BE3C54">
      <w:pPr>
        <w:spacing w:after="240" w:line="240" w:lineRule="auto"/>
        <w:jc w:val="both"/>
        <w:rPr>
          <w:rFonts w:ascii="Arial" w:hAnsi="Arial" w:cs="Arial"/>
          <w:lang w:val="en-GB"/>
        </w:rPr>
      </w:pPr>
      <w:r w:rsidRPr="00F46A04">
        <w:rPr>
          <w:rFonts w:ascii="Arial" w:hAnsi="Arial" w:cs="Arial"/>
          <w:lang w:val="en-GB"/>
        </w:rPr>
        <w:t xml:space="preserve">The Committee is a Committee of the Board of Directors (the ‘Board’) of Progressive Building Society (the ‘Society’) from which it derives its authority and to which it regularly reports. </w:t>
      </w:r>
    </w:p>
    <w:p w14:paraId="5D0032BC" w14:textId="77777777" w:rsidR="00BE3C54" w:rsidRPr="00F46A04" w:rsidRDefault="00BE3C54" w:rsidP="00BE3C54">
      <w:pPr>
        <w:spacing w:after="240" w:line="240" w:lineRule="auto"/>
        <w:jc w:val="both"/>
        <w:rPr>
          <w:rFonts w:ascii="Arial" w:hAnsi="Arial" w:cs="Arial"/>
          <w:lang w:val="en-GB"/>
        </w:rPr>
      </w:pPr>
      <w:r w:rsidRPr="00F46A04">
        <w:rPr>
          <w:rFonts w:ascii="Arial" w:hAnsi="Arial" w:cs="Arial"/>
          <w:lang w:val="en-GB"/>
        </w:rPr>
        <w:t>The Committee has delegated authority of the Board in respect of functions and powers in these Terms of Reference. The Committee may sub-delegate any or all of its powers and authority as it sees fit, including, without limitation the establishment of sub-committees to analyse particular issues or themes and to report back to the Committee.</w:t>
      </w:r>
    </w:p>
    <w:p w14:paraId="6BA73E98" w14:textId="2A5C19E8" w:rsidR="00BE3C54" w:rsidRPr="00F46A04" w:rsidRDefault="00BE3C54" w:rsidP="00BE3C54">
      <w:pPr>
        <w:spacing w:after="240" w:line="240" w:lineRule="auto"/>
        <w:jc w:val="both"/>
        <w:rPr>
          <w:rFonts w:ascii="Arial" w:hAnsi="Arial" w:cs="Arial"/>
          <w:lang w:val="en-GB"/>
        </w:rPr>
      </w:pPr>
      <w:r w:rsidRPr="00F46A04">
        <w:rPr>
          <w:rFonts w:ascii="Arial" w:hAnsi="Arial" w:cs="Arial"/>
          <w:lang w:val="en-GB"/>
        </w:rPr>
        <w:t xml:space="preserve">The Committee has authority to investigate any matter relating to </w:t>
      </w:r>
      <w:r w:rsidR="00343DE8">
        <w:rPr>
          <w:rFonts w:ascii="Arial" w:hAnsi="Arial" w:cs="Arial"/>
          <w:lang w:val="en-GB"/>
        </w:rPr>
        <w:t xml:space="preserve">member engagement and </w:t>
      </w:r>
      <w:r w:rsidRPr="00F46A04">
        <w:rPr>
          <w:rFonts w:ascii="Arial" w:hAnsi="Arial" w:cs="Arial"/>
          <w:lang w:val="en-GB"/>
        </w:rPr>
        <w:t>conduct matters within the Society. It also has authority to obtain any information as it may require from any Director, officer or employee of the Society.</w:t>
      </w:r>
    </w:p>
    <w:p w14:paraId="0A19476E" w14:textId="77777777" w:rsidR="00BE3C54" w:rsidRPr="00F46A04" w:rsidRDefault="00BE3C54" w:rsidP="00BE3C54">
      <w:pPr>
        <w:spacing w:after="240" w:line="240" w:lineRule="auto"/>
        <w:jc w:val="both"/>
        <w:rPr>
          <w:rFonts w:ascii="Arial" w:hAnsi="Arial" w:cs="Arial"/>
          <w:lang w:val="en-GB"/>
        </w:rPr>
      </w:pPr>
      <w:r w:rsidRPr="00F46A04">
        <w:rPr>
          <w:rFonts w:ascii="Arial" w:hAnsi="Arial" w:cs="Arial"/>
          <w:lang w:val="en-GB"/>
        </w:rPr>
        <w:t>The Committee has authority to engage independent counsel and other professional advisers at the expense of the Society and to invite them to attend meetings.</w:t>
      </w:r>
    </w:p>
    <w:p w14:paraId="13997862" w14:textId="77777777" w:rsidR="00BE3C54" w:rsidRDefault="00BE3C54" w:rsidP="00BE3C54">
      <w:pPr>
        <w:numPr>
          <w:ilvl w:val="0"/>
          <w:numId w:val="4"/>
        </w:numPr>
        <w:spacing w:after="240" w:line="240" w:lineRule="auto"/>
        <w:rPr>
          <w:rFonts w:ascii="Arial" w:hAnsi="Arial" w:cs="Arial"/>
          <w:u w:val="single"/>
          <w:lang w:val="en-GB"/>
        </w:rPr>
      </w:pPr>
      <w:r w:rsidRPr="00F46A04">
        <w:rPr>
          <w:rFonts w:ascii="Arial" w:hAnsi="Arial" w:cs="Arial"/>
          <w:u w:val="single"/>
          <w:lang w:val="en-GB"/>
        </w:rPr>
        <w:t>Purpose and Duties</w:t>
      </w:r>
    </w:p>
    <w:p w14:paraId="01ABFA8F" w14:textId="6F3F8D1B" w:rsidR="00BE3C54" w:rsidRPr="00F46A04" w:rsidRDefault="00BE3C54" w:rsidP="00BE3C54">
      <w:pPr>
        <w:spacing w:after="240" w:line="240" w:lineRule="auto"/>
        <w:rPr>
          <w:rFonts w:ascii="Arial" w:hAnsi="Arial" w:cs="Arial"/>
          <w:lang w:val="en-GB"/>
        </w:rPr>
      </w:pPr>
      <w:r w:rsidRPr="00F46A04">
        <w:rPr>
          <w:rFonts w:ascii="Arial" w:hAnsi="Arial" w:cs="Arial"/>
          <w:lang w:val="en-GB"/>
        </w:rPr>
        <w:t xml:space="preserve">The Board has established a committee to be known as the </w:t>
      </w:r>
      <w:r w:rsidR="00D844E3">
        <w:rPr>
          <w:rFonts w:ascii="Arial" w:hAnsi="Arial" w:cs="Arial"/>
          <w:lang w:val="en-GB"/>
        </w:rPr>
        <w:t>Member Engagement and Conduct</w:t>
      </w:r>
      <w:r w:rsidRPr="00F46A04">
        <w:rPr>
          <w:rFonts w:ascii="Arial" w:hAnsi="Arial" w:cs="Arial"/>
          <w:lang w:val="en-GB"/>
        </w:rPr>
        <w:t xml:space="preserve"> Committee to support it in achieving its objectives and in overseeing the management of conduct </w:t>
      </w:r>
      <w:r w:rsidR="00C50B2E">
        <w:rPr>
          <w:rFonts w:ascii="Arial" w:hAnsi="Arial" w:cs="Arial"/>
          <w:lang w:val="en-GB"/>
        </w:rPr>
        <w:t xml:space="preserve">and appropriate Member </w:t>
      </w:r>
      <w:r w:rsidR="000E417B">
        <w:rPr>
          <w:rFonts w:ascii="Arial" w:hAnsi="Arial" w:cs="Arial"/>
          <w:lang w:val="en-GB"/>
        </w:rPr>
        <w:t>e</w:t>
      </w:r>
      <w:r w:rsidR="00C3112A">
        <w:rPr>
          <w:rFonts w:ascii="Arial" w:hAnsi="Arial" w:cs="Arial"/>
          <w:lang w:val="en-GB"/>
        </w:rPr>
        <w:t>ngagement</w:t>
      </w:r>
      <w:r w:rsidR="00C50B2E">
        <w:rPr>
          <w:rFonts w:ascii="Arial" w:hAnsi="Arial" w:cs="Arial"/>
          <w:lang w:val="en-GB"/>
        </w:rPr>
        <w:t xml:space="preserve"> </w:t>
      </w:r>
      <w:r w:rsidRPr="00F46A04">
        <w:rPr>
          <w:rFonts w:ascii="Arial" w:hAnsi="Arial" w:cs="Arial"/>
          <w:lang w:val="en-GB"/>
        </w:rPr>
        <w:t>across the Society.</w:t>
      </w:r>
    </w:p>
    <w:p w14:paraId="3DB7E0D8" w14:textId="77777777" w:rsidR="00BE3C54" w:rsidRPr="00F46A04" w:rsidRDefault="00BE3C54" w:rsidP="00BE3C54">
      <w:pPr>
        <w:spacing w:after="240" w:line="240" w:lineRule="auto"/>
        <w:rPr>
          <w:rFonts w:ascii="Arial" w:hAnsi="Arial" w:cs="Arial"/>
          <w:u w:val="single"/>
          <w:lang w:val="en-GB"/>
        </w:rPr>
      </w:pPr>
      <w:r w:rsidRPr="00F46A04">
        <w:rPr>
          <w:rFonts w:ascii="Arial" w:hAnsi="Arial" w:cs="Arial"/>
          <w:lang w:val="en-GB"/>
        </w:rPr>
        <w:t>The Committee will also ensure that Progressive meets its regulatory and legal obligations with regard to Conduct of Business as laid out by its regulator.</w:t>
      </w:r>
    </w:p>
    <w:p w14:paraId="47E7A588" w14:textId="77777777" w:rsidR="00BE3C54" w:rsidRPr="00F46A04" w:rsidRDefault="00BE3C54" w:rsidP="00BE3C54">
      <w:pPr>
        <w:spacing w:after="240" w:line="240" w:lineRule="auto"/>
        <w:rPr>
          <w:rFonts w:ascii="Arial" w:hAnsi="Arial" w:cs="Arial"/>
          <w:lang w:val="en-GB"/>
        </w:rPr>
      </w:pPr>
      <w:r w:rsidRPr="00F46A04">
        <w:rPr>
          <w:rFonts w:ascii="Arial" w:hAnsi="Arial" w:cs="Arial"/>
          <w:lang w:val="en-GB"/>
        </w:rPr>
        <w:t>The duties of the Committee will include:</w:t>
      </w: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8836"/>
      </w:tblGrid>
      <w:tr w:rsidR="00BE3C54" w:rsidRPr="00F46A04" w14:paraId="29338C28" w14:textId="77777777" w:rsidTr="00092017">
        <w:tc>
          <w:tcPr>
            <w:tcW w:w="1784" w:type="dxa"/>
            <w:shd w:val="clear" w:color="auto" w:fill="D9D9D9" w:themeFill="background1" w:themeFillShade="D9"/>
          </w:tcPr>
          <w:p w14:paraId="1CC6328B" w14:textId="77777777" w:rsidR="00BE3C54" w:rsidRPr="00F46A04" w:rsidRDefault="00BE3C54" w:rsidP="00092017">
            <w:pPr>
              <w:pStyle w:val="BodyText"/>
              <w:spacing w:after="240" w:line="240" w:lineRule="auto"/>
              <w:jc w:val="center"/>
              <w:rPr>
                <w:b/>
                <w:bCs/>
                <w:sz w:val="20"/>
                <w:szCs w:val="20"/>
                <w:lang w:val="en-GB"/>
              </w:rPr>
            </w:pPr>
            <w:r w:rsidRPr="00F46A04">
              <w:rPr>
                <w:b/>
                <w:bCs/>
                <w:sz w:val="20"/>
                <w:szCs w:val="20"/>
                <w:lang w:val="en-GB"/>
              </w:rPr>
              <w:t>Functions</w:t>
            </w:r>
          </w:p>
        </w:tc>
        <w:tc>
          <w:tcPr>
            <w:tcW w:w="8836" w:type="dxa"/>
            <w:shd w:val="clear" w:color="auto" w:fill="D9D9D9" w:themeFill="background1" w:themeFillShade="D9"/>
          </w:tcPr>
          <w:p w14:paraId="7A8DB3B1" w14:textId="77777777" w:rsidR="00BE3C54" w:rsidRPr="00F46A04" w:rsidRDefault="00BE3C54" w:rsidP="00092017">
            <w:pPr>
              <w:pStyle w:val="BodyText"/>
              <w:spacing w:after="240" w:line="240" w:lineRule="auto"/>
              <w:ind w:left="-108"/>
              <w:jc w:val="center"/>
              <w:rPr>
                <w:b/>
                <w:bCs/>
                <w:sz w:val="20"/>
                <w:szCs w:val="20"/>
                <w:lang w:val="en-GB"/>
              </w:rPr>
            </w:pPr>
            <w:r w:rsidRPr="00F46A04">
              <w:rPr>
                <w:b/>
                <w:bCs/>
                <w:sz w:val="20"/>
                <w:szCs w:val="20"/>
                <w:lang w:val="en-GB"/>
              </w:rPr>
              <w:t>Details</w:t>
            </w:r>
          </w:p>
        </w:tc>
      </w:tr>
      <w:tr w:rsidR="00BE3C54" w:rsidRPr="00F46A04" w14:paraId="05CA69F9" w14:textId="77777777" w:rsidTr="00092017">
        <w:tc>
          <w:tcPr>
            <w:tcW w:w="1784" w:type="dxa"/>
          </w:tcPr>
          <w:p w14:paraId="3994A1F0" w14:textId="77777777" w:rsidR="00BE3C54" w:rsidRPr="00F46A04" w:rsidRDefault="00BE3C54" w:rsidP="00092017">
            <w:pPr>
              <w:pStyle w:val="BodyText"/>
              <w:spacing w:after="240" w:line="240" w:lineRule="auto"/>
              <w:rPr>
                <w:sz w:val="20"/>
                <w:szCs w:val="20"/>
                <w:lang w:val="en-GB"/>
              </w:rPr>
            </w:pPr>
            <w:r w:rsidRPr="00F46A04">
              <w:rPr>
                <w:sz w:val="20"/>
                <w:szCs w:val="20"/>
                <w:lang w:val="en-GB"/>
              </w:rPr>
              <w:t>Supporting Board and Executive Management</w:t>
            </w:r>
          </w:p>
        </w:tc>
        <w:tc>
          <w:tcPr>
            <w:tcW w:w="8836" w:type="dxa"/>
          </w:tcPr>
          <w:p w14:paraId="16155200" w14:textId="2B2B5CA7" w:rsidR="00BE3C54" w:rsidRDefault="00C50B2E" w:rsidP="00BE3C54">
            <w:pPr>
              <w:pStyle w:val="BodyText"/>
              <w:widowControl/>
              <w:numPr>
                <w:ilvl w:val="0"/>
                <w:numId w:val="1"/>
              </w:numPr>
              <w:tabs>
                <w:tab w:val="clear" w:pos="720"/>
              </w:tabs>
              <w:autoSpaceDE/>
              <w:autoSpaceDN/>
              <w:adjustRightInd/>
              <w:spacing w:after="240" w:line="240" w:lineRule="auto"/>
              <w:ind w:left="324" w:hanging="357"/>
              <w:jc w:val="left"/>
              <w:rPr>
                <w:sz w:val="20"/>
                <w:szCs w:val="20"/>
                <w:lang w:val="en-GB"/>
              </w:rPr>
            </w:pPr>
            <w:r>
              <w:rPr>
                <w:sz w:val="20"/>
                <w:szCs w:val="20"/>
                <w:lang w:val="en-GB"/>
              </w:rPr>
              <w:t>MEC</w:t>
            </w:r>
            <w:r w:rsidR="00A00913">
              <w:rPr>
                <w:sz w:val="20"/>
                <w:szCs w:val="20"/>
                <w:lang w:val="en-GB"/>
              </w:rPr>
              <w:t>C</w:t>
            </w:r>
            <w:r w:rsidR="00BE3C54" w:rsidRPr="00F46A04">
              <w:rPr>
                <w:sz w:val="20"/>
                <w:szCs w:val="20"/>
                <w:lang w:val="en-GB"/>
              </w:rPr>
              <w:t xml:space="preserve"> is required to support Progressive’s Board of Directors and the Executive in developing and defining the Conduct of Business regime of the Society</w:t>
            </w:r>
            <w:r w:rsidR="00882A3A">
              <w:rPr>
                <w:sz w:val="20"/>
                <w:szCs w:val="20"/>
                <w:lang w:val="en-GB"/>
              </w:rPr>
              <w:t xml:space="preserve"> and to ensure that Society Members receive a level of service which is in keeping with the requirements of the Board</w:t>
            </w:r>
            <w:r w:rsidR="00BE3C54" w:rsidRPr="00F46A04">
              <w:rPr>
                <w:sz w:val="20"/>
                <w:szCs w:val="20"/>
                <w:lang w:val="en-GB"/>
              </w:rPr>
              <w:t xml:space="preserve">. </w:t>
            </w:r>
          </w:p>
          <w:p w14:paraId="4AF78D5C" w14:textId="3A446175" w:rsidR="00BE3C54" w:rsidRDefault="00BE3C54" w:rsidP="00BE3C54">
            <w:pPr>
              <w:pStyle w:val="BodyText"/>
              <w:widowControl/>
              <w:numPr>
                <w:ilvl w:val="0"/>
                <w:numId w:val="1"/>
              </w:numPr>
              <w:tabs>
                <w:tab w:val="clear" w:pos="720"/>
              </w:tabs>
              <w:autoSpaceDE/>
              <w:autoSpaceDN/>
              <w:adjustRightInd/>
              <w:spacing w:after="240" w:line="240" w:lineRule="auto"/>
              <w:ind w:left="324" w:hanging="357"/>
              <w:jc w:val="left"/>
              <w:rPr>
                <w:sz w:val="20"/>
                <w:szCs w:val="20"/>
                <w:lang w:val="en-GB"/>
              </w:rPr>
            </w:pPr>
            <w:r w:rsidRPr="00F46A04">
              <w:rPr>
                <w:sz w:val="20"/>
                <w:szCs w:val="20"/>
                <w:lang w:val="en-GB"/>
              </w:rPr>
              <w:t xml:space="preserve">On a minimum of an annual basis, the Committee shall review the components of Progressive’s Conduct of Business regime to ensure that it satisfies regulatory requirements. </w:t>
            </w:r>
            <w:r w:rsidR="00745DE4">
              <w:rPr>
                <w:sz w:val="20"/>
                <w:szCs w:val="20"/>
                <w:lang w:val="en-GB"/>
              </w:rPr>
              <w:t>Any exceptions to the regime will be highlighted on a quarterly basis.</w:t>
            </w:r>
          </w:p>
          <w:p w14:paraId="15F6E794" w14:textId="398E3D4C" w:rsidR="00BE3C54" w:rsidRDefault="00BE3C54" w:rsidP="00BE3C54">
            <w:pPr>
              <w:pStyle w:val="BodyText"/>
              <w:widowControl/>
              <w:numPr>
                <w:ilvl w:val="0"/>
                <w:numId w:val="1"/>
              </w:numPr>
              <w:tabs>
                <w:tab w:val="clear" w:pos="720"/>
              </w:tabs>
              <w:autoSpaceDE/>
              <w:autoSpaceDN/>
              <w:adjustRightInd/>
              <w:spacing w:after="240" w:line="240" w:lineRule="auto"/>
              <w:ind w:left="324" w:hanging="357"/>
              <w:jc w:val="left"/>
              <w:rPr>
                <w:sz w:val="20"/>
                <w:szCs w:val="20"/>
                <w:lang w:val="en-GB"/>
              </w:rPr>
            </w:pPr>
            <w:r w:rsidRPr="00F46A04">
              <w:rPr>
                <w:sz w:val="20"/>
                <w:szCs w:val="20"/>
                <w:lang w:val="en-GB"/>
              </w:rPr>
              <w:t xml:space="preserve">The Board will receive a comprehensive report on the business of the Committee from the Chairman of the </w:t>
            </w:r>
            <w:r w:rsidR="00C50B2E">
              <w:rPr>
                <w:sz w:val="20"/>
                <w:szCs w:val="20"/>
                <w:lang w:val="en-GB"/>
              </w:rPr>
              <w:t>MEC</w:t>
            </w:r>
            <w:r w:rsidR="00A00913">
              <w:rPr>
                <w:sz w:val="20"/>
                <w:szCs w:val="20"/>
                <w:lang w:val="en-GB"/>
              </w:rPr>
              <w:t>C</w:t>
            </w:r>
            <w:r w:rsidRPr="00F46A04">
              <w:rPr>
                <w:sz w:val="20"/>
                <w:szCs w:val="20"/>
                <w:lang w:val="en-GB"/>
              </w:rPr>
              <w:t xml:space="preserve"> after each Committee meeting.</w:t>
            </w:r>
          </w:p>
          <w:p w14:paraId="50F1A61C" w14:textId="77777777" w:rsidR="00BE3C54" w:rsidRDefault="00BE3C54" w:rsidP="00BE3C54">
            <w:pPr>
              <w:pStyle w:val="BodyText"/>
              <w:widowControl/>
              <w:numPr>
                <w:ilvl w:val="0"/>
                <w:numId w:val="1"/>
              </w:numPr>
              <w:tabs>
                <w:tab w:val="clear" w:pos="720"/>
              </w:tabs>
              <w:autoSpaceDE/>
              <w:autoSpaceDN/>
              <w:adjustRightInd/>
              <w:spacing w:after="240" w:line="240" w:lineRule="auto"/>
              <w:ind w:left="324" w:hanging="357"/>
              <w:jc w:val="left"/>
              <w:rPr>
                <w:sz w:val="20"/>
                <w:szCs w:val="20"/>
                <w:lang w:val="en-GB"/>
              </w:rPr>
            </w:pPr>
            <w:r w:rsidRPr="00F46A04">
              <w:rPr>
                <w:sz w:val="20"/>
                <w:szCs w:val="20"/>
                <w:lang w:val="en-GB"/>
              </w:rPr>
              <w:t xml:space="preserve">The Board will receive a copy of the minutes of the </w:t>
            </w:r>
            <w:r w:rsidR="00C50B2E">
              <w:rPr>
                <w:sz w:val="20"/>
                <w:szCs w:val="20"/>
                <w:lang w:val="en-GB"/>
              </w:rPr>
              <w:t>MEC</w:t>
            </w:r>
            <w:r w:rsidR="00A00913">
              <w:rPr>
                <w:sz w:val="20"/>
                <w:szCs w:val="20"/>
                <w:lang w:val="en-GB"/>
              </w:rPr>
              <w:t>C</w:t>
            </w:r>
            <w:r w:rsidRPr="00F46A04">
              <w:rPr>
                <w:sz w:val="20"/>
                <w:szCs w:val="20"/>
                <w:lang w:val="en-GB"/>
              </w:rPr>
              <w:t xml:space="preserve"> and any relevant supporting management information.</w:t>
            </w:r>
          </w:p>
          <w:p w14:paraId="5C394AD0" w14:textId="77777777" w:rsidR="005157EF" w:rsidRDefault="005157EF" w:rsidP="00BE3C54">
            <w:pPr>
              <w:pStyle w:val="BodyText"/>
              <w:widowControl/>
              <w:numPr>
                <w:ilvl w:val="0"/>
                <w:numId w:val="1"/>
              </w:numPr>
              <w:tabs>
                <w:tab w:val="clear" w:pos="720"/>
              </w:tabs>
              <w:autoSpaceDE/>
              <w:autoSpaceDN/>
              <w:adjustRightInd/>
              <w:spacing w:after="240" w:line="240" w:lineRule="auto"/>
              <w:ind w:left="324" w:hanging="357"/>
              <w:jc w:val="left"/>
              <w:rPr>
                <w:sz w:val="20"/>
                <w:szCs w:val="20"/>
                <w:lang w:val="en-GB"/>
              </w:rPr>
            </w:pPr>
            <w:r>
              <w:rPr>
                <w:sz w:val="20"/>
                <w:szCs w:val="20"/>
                <w:lang w:val="en-GB"/>
              </w:rPr>
              <w:t>Support the Board in ensuring the Society’s Corporate Social Responsibility (CSR) agenda is in line with strategic requirements and the cultural outlook of the Board.</w:t>
            </w:r>
          </w:p>
          <w:p w14:paraId="3C1ED47C" w14:textId="252894A0" w:rsidR="00ED0D5B" w:rsidRDefault="00ED0D5B" w:rsidP="00BE3C54">
            <w:pPr>
              <w:pStyle w:val="BodyText"/>
              <w:widowControl/>
              <w:numPr>
                <w:ilvl w:val="0"/>
                <w:numId w:val="1"/>
              </w:numPr>
              <w:tabs>
                <w:tab w:val="clear" w:pos="720"/>
              </w:tabs>
              <w:autoSpaceDE/>
              <w:autoSpaceDN/>
              <w:adjustRightInd/>
              <w:spacing w:after="240" w:line="240" w:lineRule="auto"/>
              <w:ind w:left="324" w:hanging="357"/>
              <w:jc w:val="left"/>
              <w:rPr>
                <w:sz w:val="20"/>
                <w:szCs w:val="20"/>
                <w:lang w:val="en-GB"/>
              </w:rPr>
            </w:pPr>
            <w:r>
              <w:rPr>
                <w:sz w:val="20"/>
                <w:szCs w:val="20"/>
                <w:lang w:val="en-GB"/>
              </w:rPr>
              <w:t>Support the Board in ensuring that member engagement is aligned to the Corporate Plan and Strategic Intent of the Society and that appropriate Management Information is available to ensure this support.</w:t>
            </w:r>
          </w:p>
        </w:tc>
      </w:tr>
      <w:tr w:rsidR="00BE3C54" w:rsidRPr="00F46A04" w14:paraId="173A5E09" w14:textId="77777777" w:rsidTr="00092017">
        <w:trPr>
          <w:trHeight w:val="170"/>
        </w:trPr>
        <w:tc>
          <w:tcPr>
            <w:tcW w:w="1784" w:type="dxa"/>
          </w:tcPr>
          <w:p w14:paraId="41502F87" w14:textId="4232A124" w:rsidR="00BE3C54" w:rsidRPr="00F46A04" w:rsidRDefault="00BE3C54" w:rsidP="00092017">
            <w:pPr>
              <w:pStyle w:val="BodyText"/>
              <w:spacing w:after="240" w:line="240" w:lineRule="auto"/>
              <w:rPr>
                <w:sz w:val="20"/>
                <w:szCs w:val="20"/>
                <w:lang w:val="en-GB"/>
              </w:rPr>
            </w:pPr>
            <w:r w:rsidRPr="00F46A04">
              <w:rPr>
                <w:sz w:val="20"/>
                <w:szCs w:val="20"/>
                <w:lang w:val="en-GB"/>
              </w:rPr>
              <w:t xml:space="preserve">Strategic </w:t>
            </w:r>
            <w:proofErr w:type="gramStart"/>
            <w:r w:rsidRPr="00F46A04">
              <w:rPr>
                <w:sz w:val="20"/>
                <w:szCs w:val="20"/>
                <w:lang w:val="en-GB"/>
              </w:rPr>
              <w:t>Conduct  Management</w:t>
            </w:r>
            <w:proofErr w:type="gramEnd"/>
            <w:r w:rsidR="00D844E3">
              <w:rPr>
                <w:sz w:val="20"/>
                <w:szCs w:val="20"/>
                <w:lang w:val="en-GB"/>
              </w:rPr>
              <w:t xml:space="preserve"> and regulatory compliance</w:t>
            </w:r>
          </w:p>
          <w:p w14:paraId="3C3C1F1E" w14:textId="77777777" w:rsidR="00BE3C54" w:rsidRPr="00F46A04" w:rsidRDefault="00BE3C54" w:rsidP="00092017">
            <w:pPr>
              <w:pStyle w:val="BodyText"/>
              <w:spacing w:after="240" w:line="240" w:lineRule="auto"/>
              <w:rPr>
                <w:sz w:val="20"/>
                <w:szCs w:val="20"/>
                <w:lang w:val="en-GB"/>
              </w:rPr>
            </w:pPr>
          </w:p>
        </w:tc>
        <w:tc>
          <w:tcPr>
            <w:tcW w:w="8836" w:type="dxa"/>
          </w:tcPr>
          <w:p w14:paraId="698289E7" w14:textId="77777777" w:rsidR="00BE3C54" w:rsidRDefault="00BE3C54" w:rsidP="00BE3C54">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To consider the implications of changes to the legal and regulatory regime in so far as such changes impact on the Conduct of Business regime.</w:t>
            </w:r>
          </w:p>
          <w:p w14:paraId="0DF66188" w14:textId="512039D4" w:rsidR="00BE3C54" w:rsidRDefault="00BE3C54" w:rsidP="00343DE8">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Review FCA publications on Conduct</w:t>
            </w:r>
            <w:r w:rsidR="00D844E3">
              <w:rPr>
                <w:sz w:val="20"/>
                <w:szCs w:val="20"/>
                <w:lang w:val="en-GB"/>
              </w:rPr>
              <w:t xml:space="preserve"> and behavioural expectations</w:t>
            </w:r>
            <w:r w:rsidRPr="00F46A04">
              <w:rPr>
                <w:sz w:val="20"/>
                <w:szCs w:val="20"/>
                <w:lang w:val="en-GB"/>
              </w:rPr>
              <w:t xml:space="preserve"> including the FCA’s Business Plan</w:t>
            </w:r>
            <w:r w:rsidR="000E417B">
              <w:rPr>
                <w:sz w:val="20"/>
                <w:szCs w:val="20"/>
                <w:lang w:val="en-GB"/>
              </w:rPr>
              <w:t xml:space="preserve">. To receive a quarterly report from the Head of Conduct </w:t>
            </w:r>
            <w:r w:rsidR="008E588D">
              <w:rPr>
                <w:sz w:val="20"/>
                <w:szCs w:val="20"/>
                <w:lang w:val="en-GB"/>
              </w:rPr>
              <w:t>and Compliance</w:t>
            </w:r>
            <w:r w:rsidR="000E417B">
              <w:rPr>
                <w:sz w:val="20"/>
                <w:szCs w:val="20"/>
                <w:lang w:val="en-GB"/>
              </w:rPr>
              <w:t xml:space="preserve"> on areas specifically impacting the Society</w:t>
            </w:r>
            <w:r w:rsidR="00745DE4">
              <w:rPr>
                <w:sz w:val="20"/>
                <w:szCs w:val="20"/>
                <w:lang w:val="en-GB"/>
              </w:rPr>
              <w:t xml:space="preserve"> with other publications available to the Committee as reference material.</w:t>
            </w:r>
          </w:p>
          <w:p w14:paraId="77E7EB4A" w14:textId="1FDA384A" w:rsidR="00D540BA" w:rsidRDefault="00D540BA" w:rsidP="00D540BA">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D540BA">
              <w:rPr>
                <w:rFonts w:eastAsiaTheme="minorHAnsi"/>
                <w:color w:val="000000"/>
                <w:sz w:val="24"/>
                <w:szCs w:val="24"/>
                <w:lang w:val="en-GB" w:bidi="ar-SA"/>
              </w:rPr>
              <w:lastRenderedPageBreak/>
              <w:t xml:space="preserve"> </w:t>
            </w:r>
            <w:r w:rsidRPr="00D540BA">
              <w:rPr>
                <w:rFonts w:eastAsiaTheme="minorHAnsi"/>
                <w:color w:val="000000"/>
                <w:sz w:val="20"/>
                <w:szCs w:val="20"/>
                <w:lang w:val="en-GB" w:bidi="ar-SA"/>
              </w:rPr>
              <w:t xml:space="preserve">Agree and monitor the key measures of performance, including performance targets, used to assess delivery of the Conduct </w:t>
            </w:r>
            <w:r>
              <w:rPr>
                <w:rFonts w:eastAsiaTheme="minorHAnsi"/>
                <w:color w:val="000000"/>
                <w:sz w:val="20"/>
                <w:szCs w:val="20"/>
                <w:lang w:val="en-GB" w:bidi="ar-SA"/>
              </w:rPr>
              <w:t xml:space="preserve">and Compliance </w:t>
            </w:r>
            <w:r w:rsidR="005157EF">
              <w:rPr>
                <w:rFonts w:eastAsiaTheme="minorHAnsi"/>
                <w:color w:val="000000"/>
                <w:sz w:val="20"/>
                <w:szCs w:val="20"/>
                <w:lang w:val="en-GB" w:bidi="ar-SA"/>
              </w:rPr>
              <w:t>Programme</w:t>
            </w:r>
            <w:r w:rsidRPr="00D540BA">
              <w:rPr>
                <w:rFonts w:eastAsiaTheme="minorHAnsi"/>
                <w:color w:val="000000"/>
                <w:sz w:val="20"/>
                <w:szCs w:val="20"/>
                <w:lang w:val="en-GB" w:bidi="ar-SA"/>
              </w:rPr>
              <w:t xml:space="preserve"> and to minimise the </w:t>
            </w:r>
            <w:r>
              <w:rPr>
                <w:rFonts w:eastAsiaTheme="minorHAnsi"/>
                <w:color w:val="000000"/>
                <w:sz w:val="20"/>
                <w:szCs w:val="20"/>
                <w:lang w:val="en-GB" w:bidi="ar-SA"/>
              </w:rPr>
              <w:t>potential</w:t>
            </w:r>
            <w:r w:rsidRPr="00D540BA">
              <w:rPr>
                <w:rFonts w:eastAsiaTheme="minorHAnsi"/>
                <w:color w:val="000000"/>
                <w:sz w:val="20"/>
                <w:szCs w:val="20"/>
                <w:lang w:val="en-GB" w:bidi="ar-SA"/>
              </w:rPr>
              <w:t xml:space="preserve"> of possible shortcomings against what the Society judges to be fair treatment and/or fair outcomes for Members, to include the receipt of monitoring reports from the </w:t>
            </w:r>
            <w:r>
              <w:rPr>
                <w:rFonts w:eastAsiaTheme="minorHAnsi"/>
                <w:color w:val="000000"/>
                <w:sz w:val="20"/>
                <w:szCs w:val="20"/>
                <w:lang w:val="en-GB" w:bidi="ar-SA"/>
              </w:rPr>
              <w:t>Head of Conduct and</w:t>
            </w:r>
            <w:r w:rsidRPr="00D540BA">
              <w:rPr>
                <w:rFonts w:eastAsiaTheme="minorHAnsi"/>
                <w:color w:val="000000"/>
                <w:sz w:val="20"/>
                <w:szCs w:val="20"/>
                <w:lang w:val="en-GB" w:bidi="ar-SA"/>
              </w:rPr>
              <w:t xml:space="preserve"> Compliance and reports on specific reviews and/or assessments (“deep dives”) initiated from time to time by the Committee into any area to do with ensuring fair treatment for Members and customers.</w:t>
            </w:r>
          </w:p>
        </w:tc>
      </w:tr>
      <w:tr w:rsidR="00BE3C54" w:rsidRPr="00F46A04" w14:paraId="36070113" w14:textId="77777777" w:rsidTr="00343DE8">
        <w:trPr>
          <w:trHeight w:val="1266"/>
        </w:trPr>
        <w:tc>
          <w:tcPr>
            <w:tcW w:w="1784" w:type="dxa"/>
          </w:tcPr>
          <w:p w14:paraId="35364554" w14:textId="77777777" w:rsidR="00BE3C54" w:rsidRPr="00F46A04" w:rsidRDefault="00BE3C54" w:rsidP="00092017">
            <w:pPr>
              <w:pStyle w:val="BodyText"/>
              <w:spacing w:after="240" w:line="240" w:lineRule="auto"/>
              <w:rPr>
                <w:sz w:val="20"/>
                <w:szCs w:val="20"/>
                <w:lang w:val="en-GB"/>
              </w:rPr>
            </w:pPr>
            <w:r w:rsidRPr="00F46A04">
              <w:rPr>
                <w:sz w:val="20"/>
                <w:szCs w:val="20"/>
                <w:lang w:val="en-GB"/>
              </w:rPr>
              <w:lastRenderedPageBreak/>
              <w:t>Customer Outcomes</w:t>
            </w:r>
          </w:p>
        </w:tc>
        <w:tc>
          <w:tcPr>
            <w:tcW w:w="8836" w:type="dxa"/>
          </w:tcPr>
          <w:p w14:paraId="02E6E8C9" w14:textId="4C15FF70" w:rsidR="006C31BB" w:rsidRPr="00343DE8" w:rsidRDefault="00BE3C54" w:rsidP="00343DE8">
            <w:pPr>
              <w:pStyle w:val="ListParagraph"/>
              <w:numPr>
                <w:ilvl w:val="0"/>
                <w:numId w:val="9"/>
              </w:numPr>
              <w:spacing w:after="240" w:line="240" w:lineRule="auto"/>
              <w:ind w:left="269" w:hanging="269"/>
              <w:rPr>
                <w:rFonts w:ascii="Arial" w:hAnsi="Arial" w:cs="Arial"/>
                <w:sz w:val="20"/>
                <w:szCs w:val="20"/>
                <w:lang w:val="en-GB"/>
              </w:rPr>
            </w:pPr>
            <w:r w:rsidRPr="00343DE8">
              <w:rPr>
                <w:rFonts w:ascii="Arial" w:hAnsi="Arial" w:cs="Arial"/>
                <w:sz w:val="20"/>
                <w:szCs w:val="20"/>
                <w:lang w:val="en-GB"/>
              </w:rPr>
              <w:t>On a quarterly basis review key performance indicators (KPI) for each customer outcome</w:t>
            </w:r>
            <w:r w:rsidR="00633908" w:rsidRPr="00343DE8">
              <w:rPr>
                <w:rFonts w:ascii="Arial" w:hAnsi="Arial" w:cs="Arial"/>
                <w:sz w:val="20"/>
                <w:szCs w:val="20"/>
                <w:lang w:val="en-GB"/>
              </w:rPr>
              <w:t xml:space="preserve"> by </w:t>
            </w:r>
            <w:r w:rsidR="00882A3A" w:rsidRPr="00343DE8">
              <w:rPr>
                <w:rFonts w:ascii="Arial" w:hAnsi="Arial" w:cs="Arial"/>
                <w:sz w:val="20"/>
                <w:szCs w:val="20"/>
                <w:lang w:val="en-GB"/>
              </w:rPr>
              <w:t>except</w:t>
            </w:r>
            <w:r w:rsidR="00633908" w:rsidRPr="00343DE8">
              <w:rPr>
                <w:rFonts w:ascii="Arial" w:hAnsi="Arial" w:cs="Arial"/>
                <w:sz w:val="20"/>
                <w:szCs w:val="20"/>
                <w:lang w:val="en-GB"/>
              </w:rPr>
              <w:t>ion</w:t>
            </w:r>
            <w:r w:rsidRPr="00343DE8">
              <w:rPr>
                <w:rFonts w:ascii="Arial" w:hAnsi="Arial" w:cs="Arial"/>
                <w:sz w:val="20"/>
                <w:szCs w:val="20"/>
                <w:lang w:val="en-GB"/>
              </w:rPr>
              <w:t xml:space="preserve">. </w:t>
            </w:r>
            <w:r w:rsidR="00633908" w:rsidRPr="00343DE8">
              <w:rPr>
                <w:rFonts w:ascii="Arial" w:hAnsi="Arial" w:cs="Arial"/>
                <w:sz w:val="20"/>
                <w:szCs w:val="20"/>
                <w:lang w:val="en-GB"/>
              </w:rPr>
              <w:t xml:space="preserve">Any KPI failures should be reported to the Committee on a quarterly basis and at least annually the Committee should review the Society’s </w:t>
            </w:r>
            <w:r w:rsidR="008D47A3">
              <w:rPr>
                <w:rFonts w:ascii="Arial" w:hAnsi="Arial" w:cs="Arial"/>
                <w:sz w:val="20"/>
                <w:szCs w:val="20"/>
                <w:lang w:val="en-GB"/>
              </w:rPr>
              <w:t>KPI criteria</w:t>
            </w:r>
            <w:r w:rsidRPr="00343DE8">
              <w:rPr>
                <w:rFonts w:ascii="Arial" w:hAnsi="Arial" w:cs="Arial"/>
                <w:sz w:val="20"/>
                <w:szCs w:val="20"/>
                <w:lang w:val="en-GB"/>
              </w:rPr>
              <w:t>.</w:t>
            </w:r>
          </w:p>
          <w:p w14:paraId="3D0BF9A2" w14:textId="4A2607D5" w:rsidR="00633908" w:rsidRDefault="00633908" w:rsidP="00343DE8">
            <w:pPr>
              <w:pStyle w:val="Default"/>
              <w:numPr>
                <w:ilvl w:val="0"/>
                <w:numId w:val="9"/>
              </w:numPr>
              <w:ind w:left="269" w:hanging="269"/>
              <w:rPr>
                <w:sz w:val="20"/>
                <w:szCs w:val="20"/>
              </w:rPr>
            </w:pPr>
            <w:r>
              <w:rPr>
                <w:sz w:val="20"/>
                <w:szCs w:val="20"/>
              </w:rPr>
              <w:t>Be satisfied that the Society co</w:t>
            </w:r>
            <w:r w:rsidR="008D47A3">
              <w:rPr>
                <w:sz w:val="20"/>
                <w:szCs w:val="20"/>
              </w:rPr>
              <w:t>ntinues to have good processes</w:t>
            </w:r>
            <w:r>
              <w:rPr>
                <w:sz w:val="20"/>
                <w:szCs w:val="20"/>
              </w:rPr>
              <w:t xml:space="preserve">: </w:t>
            </w:r>
          </w:p>
          <w:p w14:paraId="0F749D69" w14:textId="491D82B3" w:rsidR="00633908" w:rsidRDefault="00633908" w:rsidP="007549D6">
            <w:pPr>
              <w:pStyle w:val="Default"/>
              <w:numPr>
                <w:ilvl w:val="0"/>
                <w:numId w:val="8"/>
              </w:numPr>
              <w:spacing w:after="27"/>
              <w:rPr>
                <w:sz w:val="20"/>
                <w:szCs w:val="20"/>
              </w:rPr>
            </w:pPr>
            <w:r>
              <w:rPr>
                <w:sz w:val="20"/>
                <w:szCs w:val="20"/>
              </w:rPr>
              <w:t xml:space="preserve">That support the delivery of fair outcomes within the Board’s Conduct </w:t>
            </w:r>
            <w:r w:rsidR="00163D62">
              <w:rPr>
                <w:sz w:val="20"/>
                <w:szCs w:val="20"/>
              </w:rPr>
              <w:t>and Cultural outlook</w:t>
            </w:r>
            <w:r>
              <w:rPr>
                <w:sz w:val="20"/>
                <w:szCs w:val="20"/>
              </w:rPr>
              <w:t xml:space="preserve">. </w:t>
            </w:r>
          </w:p>
          <w:p w14:paraId="07C78BA8" w14:textId="11F03A4F" w:rsidR="00633908" w:rsidRDefault="00633908" w:rsidP="007549D6">
            <w:pPr>
              <w:pStyle w:val="Default"/>
              <w:numPr>
                <w:ilvl w:val="0"/>
                <w:numId w:val="8"/>
              </w:numPr>
              <w:spacing w:after="27"/>
              <w:rPr>
                <w:sz w:val="20"/>
                <w:szCs w:val="20"/>
              </w:rPr>
            </w:pPr>
            <w:r>
              <w:rPr>
                <w:sz w:val="20"/>
                <w:szCs w:val="20"/>
              </w:rPr>
              <w:t xml:space="preserve">For dealing with shortcomings and with complaints when mistakes are made and for ensuring that shortcomings are corrected. </w:t>
            </w:r>
          </w:p>
          <w:p w14:paraId="0D455C97" w14:textId="301B4CFC" w:rsidR="00633908" w:rsidRDefault="00633908" w:rsidP="007549D6">
            <w:pPr>
              <w:pStyle w:val="Default"/>
              <w:numPr>
                <w:ilvl w:val="0"/>
                <w:numId w:val="8"/>
              </w:numPr>
              <w:rPr>
                <w:sz w:val="20"/>
                <w:szCs w:val="20"/>
              </w:rPr>
            </w:pPr>
            <w:r>
              <w:rPr>
                <w:sz w:val="20"/>
                <w:szCs w:val="20"/>
              </w:rPr>
              <w:t xml:space="preserve">For dealing with Members experiencing financial difficulties and vulnerabilities. </w:t>
            </w:r>
          </w:p>
          <w:p w14:paraId="1FA6F248" w14:textId="62A97006" w:rsidR="00633908" w:rsidRDefault="00633908" w:rsidP="007549D6">
            <w:pPr>
              <w:pStyle w:val="Default"/>
              <w:ind w:left="720"/>
              <w:rPr>
                <w:sz w:val="20"/>
                <w:szCs w:val="20"/>
              </w:rPr>
            </w:pPr>
          </w:p>
          <w:p w14:paraId="193B750B" w14:textId="0861F6E4" w:rsidR="00633908" w:rsidRDefault="00633908" w:rsidP="00343DE8">
            <w:pPr>
              <w:pStyle w:val="Default"/>
              <w:numPr>
                <w:ilvl w:val="0"/>
                <w:numId w:val="10"/>
              </w:numPr>
              <w:ind w:left="269" w:hanging="269"/>
              <w:rPr>
                <w:sz w:val="20"/>
                <w:szCs w:val="20"/>
              </w:rPr>
            </w:pPr>
            <w:r>
              <w:rPr>
                <w:sz w:val="20"/>
                <w:szCs w:val="20"/>
              </w:rPr>
              <w:t>Be satisfied that the Society’s operational processes provide the appropriate level of service to Members and are in line with the Board’s expectations.</w:t>
            </w:r>
          </w:p>
          <w:p w14:paraId="3149478B" w14:textId="634A7A9B" w:rsidR="00633908" w:rsidRDefault="00633908" w:rsidP="007549D6">
            <w:pPr>
              <w:pStyle w:val="Default"/>
              <w:ind w:left="269" w:hanging="269"/>
              <w:rPr>
                <w:sz w:val="20"/>
                <w:szCs w:val="20"/>
              </w:rPr>
            </w:pPr>
          </w:p>
          <w:p w14:paraId="3B4E87B7" w14:textId="1CF1B84B" w:rsidR="00633908" w:rsidRDefault="00633908" w:rsidP="00343DE8">
            <w:pPr>
              <w:pStyle w:val="Default"/>
              <w:numPr>
                <w:ilvl w:val="0"/>
                <w:numId w:val="10"/>
              </w:numPr>
              <w:ind w:left="269" w:hanging="269"/>
              <w:rPr>
                <w:sz w:val="20"/>
                <w:szCs w:val="20"/>
              </w:rPr>
            </w:pPr>
            <w:r>
              <w:rPr>
                <w:sz w:val="20"/>
                <w:szCs w:val="20"/>
              </w:rPr>
              <w:t>Be satisfied that the Society’s IT Operations provide the appropriate level of service to</w:t>
            </w:r>
            <w:r w:rsidR="000E417B">
              <w:rPr>
                <w:sz w:val="20"/>
                <w:szCs w:val="20"/>
              </w:rPr>
              <w:t xml:space="preserve"> the Society to allow for</w:t>
            </w:r>
            <w:r>
              <w:rPr>
                <w:sz w:val="20"/>
                <w:szCs w:val="20"/>
              </w:rPr>
              <w:t xml:space="preserve"> Member</w:t>
            </w:r>
            <w:r w:rsidR="000E417B">
              <w:rPr>
                <w:sz w:val="20"/>
                <w:szCs w:val="20"/>
              </w:rPr>
              <w:t xml:space="preserve"> service</w:t>
            </w:r>
            <w:r w:rsidR="00745DE4">
              <w:rPr>
                <w:sz w:val="20"/>
                <w:szCs w:val="20"/>
              </w:rPr>
              <w:t xml:space="preserve"> provision</w:t>
            </w:r>
            <w:r w:rsidR="000E417B">
              <w:rPr>
                <w:sz w:val="20"/>
                <w:szCs w:val="20"/>
              </w:rPr>
              <w:t xml:space="preserve"> to be</w:t>
            </w:r>
            <w:r>
              <w:rPr>
                <w:sz w:val="20"/>
                <w:szCs w:val="20"/>
              </w:rPr>
              <w:t xml:space="preserve"> in line with the Board’s expectations.</w:t>
            </w:r>
          </w:p>
          <w:p w14:paraId="0037D311" w14:textId="78A8E107" w:rsidR="002F49F7" w:rsidRDefault="002F49F7" w:rsidP="007549D6">
            <w:pPr>
              <w:pStyle w:val="Default"/>
              <w:ind w:left="269" w:hanging="269"/>
              <w:rPr>
                <w:sz w:val="20"/>
                <w:szCs w:val="20"/>
              </w:rPr>
            </w:pPr>
          </w:p>
          <w:p w14:paraId="01CDD00B" w14:textId="56C4ABC2" w:rsidR="002F49F7" w:rsidRDefault="002F49F7" w:rsidP="00343DE8">
            <w:pPr>
              <w:pStyle w:val="Default"/>
              <w:numPr>
                <w:ilvl w:val="0"/>
                <w:numId w:val="10"/>
              </w:numPr>
              <w:ind w:left="269" w:hanging="269"/>
              <w:rPr>
                <w:sz w:val="20"/>
                <w:szCs w:val="20"/>
              </w:rPr>
            </w:pPr>
            <w:r>
              <w:rPr>
                <w:sz w:val="20"/>
                <w:szCs w:val="20"/>
              </w:rPr>
              <w:t xml:space="preserve">Be satisfied that the Society’s Training and Competency processes provide the appropriate level of service to Members and are in line with the Board’s expectations. </w:t>
            </w:r>
          </w:p>
          <w:p w14:paraId="51FE270A" w14:textId="1E2C8440" w:rsidR="004B5F86" w:rsidRDefault="004B5F86" w:rsidP="007549D6">
            <w:pPr>
              <w:pStyle w:val="Default"/>
              <w:rPr>
                <w:sz w:val="20"/>
                <w:szCs w:val="20"/>
              </w:rPr>
            </w:pPr>
          </w:p>
          <w:p w14:paraId="66A72A23" w14:textId="77777777" w:rsidR="00BE3C54" w:rsidRDefault="004B5F86" w:rsidP="00343DE8">
            <w:pPr>
              <w:pStyle w:val="Default"/>
              <w:numPr>
                <w:ilvl w:val="0"/>
                <w:numId w:val="10"/>
              </w:numPr>
              <w:ind w:left="269" w:hanging="269"/>
              <w:rPr>
                <w:sz w:val="20"/>
                <w:szCs w:val="20"/>
              </w:rPr>
            </w:pPr>
            <w:r>
              <w:rPr>
                <w:sz w:val="20"/>
                <w:szCs w:val="20"/>
              </w:rPr>
              <w:t xml:space="preserve">Be satisfied </w:t>
            </w:r>
            <w:r w:rsidR="003A0EF5">
              <w:rPr>
                <w:sz w:val="20"/>
                <w:szCs w:val="20"/>
              </w:rPr>
              <w:t xml:space="preserve">that the Society’s </w:t>
            </w:r>
            <w:r w:rsidR="00465221">
              <w:rPr>
                <w:sz w:val="20"/>
                <w:szCs w:val="20"/>
              </w:rPr>
              <w:t xml:space="preserve">Outsourcing, </w:t>
            </w:r>
            <w:r w:rsidR="003A0EF5">
              <w:rPr>
                <w:sz w:val="20"/>
                <w:szCs w:val="20"/>
              </w:rPr>
              <w:t xml:space="preserve">Procurement and Contract Management processes </w:t>
            </w:r>
            <w:r w:rsidR="008D47A3">
              <w:rPr>
                <w:sz w:val="20"/>
                <w:szCs w:val="20"/>
              </w:rPr>
              <w:t>deliver</w:t>
            </w:r>
            <w:r w:rsidR="003A0EF5">
              <w:rPr>
                <w:sz w:val="20"/>
                <w:szCs w:val="20"/>
              </w:rPr>
              <w:t xml:space="preserve"> the appropriate level of service to Members and are in line with the Board’s expectations.</w:t>
            </w:r>
          </w:p>
          <w:p w14:paraId="38A49E85" w14:textId="77777777" w:rsidR="00D540BA" w:rsidRDefault="00D540BA" w:rsidP="00D540BA">
            <w:pPr>
              <w:pStyle w:val="Default"/>
              <w:rPr>
                <w:sz w:val="20"/>
                <w:szCs w:val="20"/>
              </w:rPr>
            </w:pPr>
          </w:p>
          <w:p w14:paraId="1E6232A7" w14:textId="428475C4" w:rsidR="00D540BA" w:rsidRDefault="00D540BA" w:rsidP="00D540BA">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Pr>
                <w:sz w:val="20"/>
                <w:szCs w:val="20"/>
              </w:rPr>
              <w:t>Be satisfied that the Society’s range of savings and mortgage products are designed to be suitable for the needs and circumstances of Members and are in line with the Strategy of the Society. Furthermore, ensuring appropriate governance and oversight arrangements are in place, including third party products offered for sale by the Society.</w:t>
            </w:r>
          </w:p>
          <w:p w14:paraId="255E8452" w14:textId="54A77E49" w:rsidR="00D540BA" w:rsidRDefault="00D540BA" w:rsidP="00D540BA">
            <w:pPr>
              <w:pStyle w:val="Default"/>
              <w:rPr>
                <w:sz w:val="20"/>
                <w:szCs w:val="20"/>
              </w:rPr>
            </w:pPr>
          </w:p>
        </w:tc>
      </w:tr>
      <w:tr w:rsidR="00BE3C54" w:rsidRPr="00F46A04" w14:paraId="13BF2CB7" w14:textId="77777777" w:rsidTr="00092017">
        <w:tc>
          <w:tcPr>
            <w:tcW w:w="1784" w:type="dxa"/>
          </w:tcPr>
          <w:p w14:paraId="45C11416" w14:textId="551DEC37" w:rsidR="00BE3C54" w:rsidRPr="00F46A04" w:rsidRDefault="00BE3C54" w:rsidP="00092017">
            <w:pPr>
              <w:pStyle w:val="BodyText"/>
              <w:spacing w:after="240" w:line="240" w:lineRule="auto"/>
              <w:rPr>
                <w:sz w:val="20"/>
                <w:szCs w:val="20"/>
                <w:lang w:val="en-GB"/>
              </w:rPr>
            </w:pPr>
            <w:r w:rsidRPr="00F46A04">
              <w:rPr>
                <w:sz w:val="20"/>
                <w:szCs w:val="20"/>
                <w:lang w:val="en-GB"/>
              </w:rPr>
              <w:t>New Initiatives and Projects</w:t>
            </w:r>
            <w:r w:rsidR="006C31BB">
              <w:rPr>
                <w:sz w:val="20"/>
                <w:szCs w:val="20"/>
                <w:lang w:val="en-GB"/>
              </w:rPr>
              <w:t>, including the Society’s Business Transformation programme</w:t>
            </w:r>
          </w:p>
        </w:tc>
        <w:tc>
          <w:tcPr>
            <w:tcW w:w="8836" w:type="dxa"/>
          </w:tcPr>
          <w:p w14:paraId="73D11A17" w14:textId="6C293D79" w:rsidR="006C31BB" w:rsidRDefault="00BE3C54" w:rsidP="006C31BB">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Consider the impact of new products and services on Progressive’s Conduct of Business regime</w:t>
            </w:r>
          </w:p>
          <w:p w14:paraId="3A7E30FB" w14:textId="3994D2F9" w:rsidR="006C31BB" w:rsidRDefault="006C31BB" w:rsidP="007549D6">
            <w:pPr>
              <w:pStyle w:val="BodyText"/>
              <w:widowControl/>
              <w:autoSpaceDE/>
              <w:autoSpaceDN/>
              <w:adjustRightInd/>
              <w:spacing w:after="240" w:line="240" w:lineRule="auto"/>
              <w:jc w:val="left"/>
              <w:rPr>
                <w:sz w:val="20"/>
                <w:szCs w:val="20"/>
                <w:lang w:val="en-GB"/>
              </w:rPr>
            </w:pPr>
            <w:r>
              <w:rPr>
                <w:sz w:val="20"/>
                <w:szCs w:val="20"/>
                <w:lang w:val="en-GB"/>
              </w:rPr>
              <w:t>Specifically, in relation to the Society’s Transformation programme:</w:t>
            </w:r>
          </w:p>
          <w:p w14:paraId="5DEA3248" w14:textId="1A2B58AB" w:rsidR="006C31BB" w:rsidRDefault="006C31BB" w:rsidP="00343DE8">
            <w:pPr>
              <w:pStyle w:val="Default"/>
              <w:numPr>
                <w:ilvl w:val="0"/>
                <w:numId w:val="1"/>
              </w:numPr>
              <w:tabs>
                <w:tab w:val="clear" w:pos="720"/>
                <w:tab w:val="num" w:pos="269"/>
              </w:tabs>
              <w:ind w:left="269" w:hanging="269"/>
              <w:rPr>
                <w:sz w:val="20"/>
                <w:szCs w:val="20"/>
              </w:rPr>
            </w:pPr>
            <w:r>
              <w:rPr>
                <w:sz w:val="20"/>
                <w:szCs w:val="20"/>
              </w:rPr>
              <w:t>Provide oversight and challenge in respect of progress made with the Society’s Transformation Programme</w:t>
            </w:r>
            <w:r w:rsidR="00882A3A">
              <w:rPr>
                <w:sz w:val="20"/>
                <w:szCs w:val="20"/>
              </w:rPr>
              <w:t xml:space="preserve"> and to ensure that future Member experience is in line with Board expectations</w:t>
            </w:r>
            <w:r>
              <w:rPr>
                <w:sz w:val="20"/>
                <w:szCs w:val="20"/>
              </w:rPr>
              <w:t xml:space="preserve">.  This should include verification regarding the following key areas: </w:t>
            </w:r>
          </w:p>
          <w:p w14:paraId="7C97ED29" w14:textId="77777777" w:rsidR="006C31BB" w:rsidRDefault="006C31BB" w:rsidP="006C31BB">
            <w:pPr>
              <w:pStyle w:val="Default"/>
              <w:numPr>
                <w:ilvl w:val="0"/>
                <w:numId w:val="6"/>
              </w:numPr>
              <w:spacing w:after="27"/>
              <w:rPr>
                <w:sz w:val="20"/>
                <w:szCs w:val="20"/>
              </w:rPr>
            </w:pPr>
            <w:r>
              <w:rPr>
                <w:sz w:val="20"/>
                <w:szCs w:val="20"/>
              </w:rPr>
              <w:t xml:space="preserve">Sufficiently skilled resources are available to support the Transformation Programme and are appropriately allocated. </w:t>
            </w:r>
          </w:p>
          <w:p w14:paraId="6B724B82" w14:textId="77777777" w:rsidR="006C31BB" w:rsidRDefault="006C31BB" w:rsidP="006C31BB">
            <w:pPr>
              <w:pStyle w:val="Default"/>
              <w:numPr>
                <w:ilvl w:val="0"/>
                <w:numId w:val="6"/>
              </w:numPr>
              <w:spacing w:after="27"/>
              <w:rPr>
                <w:sz w:val="20"/>
                <w:szCs w:val="20"/>
              </w:rPr>
            </w:pPr>
            <w:r>
              <w:rPr>
                <w:sz w:val="20"/>
                <w:szCs w:val="20"/>
              </w:rPr>
              <w:t>Change is being managed throughout the Society within the Board’s cultural outlook.</w:t>
            </w:r>
          </w:p>
          <w:p w14:paraId="1AC79FC2" w14:textId="77777777" w:rsidR="006C31BB" w:rsidRDefault="006C31BB" w:rsidP="006C31BB">
            <w:pPr>
              <w:pStyle w:val="Default"/>
              <w:numPr>
                <w:ilvl w:val="0"/>
                <w:numId w:val="6"/>
              </w:numPr>
              <w:spacing w:after="27"/>
              <w:rPr>
                <w:sz w:val="20"/>
                <w:szCs w:val="20"/>
              </w:rPr>
            </w:pPr>
            <w:r>
              <w:rPr>
                <w:sz w:val="20"/>
                <w:szCs w:val="20"/>
              </w:rPr>
              <w:t xml:space="preserve">Appropriate action is being taken to maintain on-going engagement of key internal and external stakeholders. </w:t>
            </w:r>
          </w:p>
          <w:p w14:paraId="77488DBF" w14:textId="77777777" w:rsidR="006C31BB" w:rsidRDefault="006C31BB" w:rsidP="006C31BB">
            <w:pPr>
              <w:pStyle w:val="Default"/>
              <w:numPr>
                <w:ilvl w:val="0"/>
                <w:numId w:val="6"/>
              </w:numPr>
              <w:spacing w:after="27"/>
              <w:rPr>
                <w:sz w:val="20"/>
                <w:szCs w:val="20"/>
              </w:rPr>
            </w:pPr>
            <w:r>
              <w:rPr>
                <w:sz w:val="20"/>
                <w:szCs w:val="20"/>
              </w:rPr>
              <w:t xml:space="preserve">The programme is aligned with the Society’s core business plan and strategy. </w:t>
            </w:r>
          </w:p>
          <w:p w14:paraId="3572C209" w14:textId="298B79DA" w:rsidR="006C31BB" w:rsidRDefault="006C31BB" w:rsidP="006C31BB">
            <w:pPr>
              <w:pStyle w:val="Default"/>
              <w:numPr>
                <w:ilvl w:val="0"/>
                <w:numId w:val="6"/>
              </w:numPr>
              <w:spacing w:after="27"/>
              <w:rPr>
                <w:sz w:val="20"/>
                <w:szCs w:val="20"/>
              </w:rPr>
            </w:pPr>
            <w:r>
              <w:rPr>
                <w:sz w:val="20"/>
                <w:szCs w:val="20"/>
              </w:rPr>
              <w:t xml:space="preserve">All activity is appropriately </w:t>
            </w:r>
            <w:r w:rsidR="008D47A3">
              <w:rPr>
                <w:sz w:val="20"/>
                <w:szCs w:val="20"/>
              </w:rPr>
              <w:t>costed</w:t>
            </w:r>
            <w:r>
              <w:rPr>
                <w:sz w:val="20"/>
                <w:szCs w:val="20"/>
              </w:rPr>
              <w:t xml:space="preserve"> and </w:t>
            </w:r>
            <w:r w:rsidR="008D47A3">
              <w:rPr>
                <w:sz w:val="20"/>
                <w:szCs w:val="20"/>
              </w:rPr>
              <w:t>provides value for money for Members</w:t>
            </w:r>
            <w:r>
              <w:rPr>
                <w:sz w:val="20"/>
                <w:szCs w:val="20"/>
              </w:rPr>
              <w:t>.</w:t>
            </w:r>
          </w:p>
          <w:p w14:paraId="79CC5515" w14:textId="77777777" w:rsidR="006C31BB" w:rsidRDefault="006C31BB" w:rsidP="006C31BB">
            <w:pPr>
              <w:pStyle w:val="Default"/>
              <w:numPr>
                <w:ilvl w:val="0"/>
                <w:numId w:val="6"/>
              </w:numPr>
              <w:spacing w:after="27"/>
              <w:rPr>
                <w:sz w:val="20"/>
                <w:szCs w:val="20"/>
              </w:rPr>
            </w:pPr>
            <w:r>
              <w:rPr>
                <w:sz w:val="20"/>
                <w:szCs w:val="20"/>
              </w:rPr>
              <w:t xml:space="preserve">Appropriate arrangements are in place to monitor member benefits attributable to delivering the Transformation Programme. </w:t>
            </w:r>
          </w:p>
          <w:p w14:paraId="7403377E" w14:textId="77777777" w:rsidR="006C31BB" w:rsidRDefault="006C31BB" w:rsidP="007549D6">
            <w:pPr>
              <w:pStyle w:val="Default"/>
              <w:numPr>
                <w:ilvl w:val="0"/>
                <w:numId w:val="6"/>
              </w:numPr>
              <w:rPr>
                <w:sz w:val="20"/>
                <w:szCs w:val="20"/>
              </w:rPr>
            </w:pPr>
            <w:r w:rsidRPr="006C31BB">
              <w:rPr>
                <w:sz w:val="20"/>
                <w:szCs w:val="20"/>
              </w:rPr>
              <w:t xml:space="preserve">Any interdependencies between the Transformation Programme and other parts of the Society are understood and controlled. </w:t>
            </w:r>
          </w:p>
          <w:p w14:paraId="7E880D7C" w14:textId="77777777" w:rsidR="006C31BB" w:rsidRDefault="006C31BB" w:rsidP="007549D6">
            <w:pPr>
              <w:pStyle w:val="Default"/>
              <w:numPr>
                <w:ilvl w:val="0"/>
                <w:numId w:val="6"/>
              </w:numPr>
              <w:rPr>
                <w:sz w:val="20"/>
                <w:szCs w:val="20"/>
              </w:rPr>
            </w:pPr>
            <w:r w:rsidRPr="006C31BB">
              <w:rPr>
                <w:sz w:val="20"/>
                <w:szCs w:val="20"/>
              </w:rPr>
              <w:t>Ensure that there is an appropriate level of assurance in connection with the Transformation Programme and where required liaise with other Board Committees to ensure appropriate assurance coverage.</w:t>
            </w:r>
          </w:p>
          <w:p w14:paraId="1B2C7632" w14:textId="23A17BCF" w:rsidR="009233AC" w:rsidRPr="007549D6" w:rsidRDefault="009233AC" w:rsidP="007549D6">
            <w:pPr>
              <w:pStyle w:val="Default"/>
              <w:numPr>
                <w:ilvl w:val="0"/>
                <w:numId w:val="6"/>
              </w:numPr>
              <w:rPr>
                <w:sz w:val="22"/>
                <w:szCs w:val="22"/>
                <w:lang w:val="en-US"/>
              </w:rPr>
            </w:pPr>
            <w:r>
              <w:rPr>
                <w:sz w:val="20"/>
                <w:szCs w:val="20"/>
              </w:rPr>
              <w:lastRenderedPageBreak/>
              <w:t>To be satisfied that controls are being appropriately designed into updated and new processes to ensure the Member value is not diminished.</w:t>
            </w:r>
          </w:p>
        </w:tc>
      </w:tr>
      <w:tr w:rsidR="00BE3C54" w:rsidRPr="00F46A04" w14:paraId="10F6387B" w14:textId="77777777" w:rsidTr="00092017">
        <w:tc>
          <w:tcPr>
            <w:tcW w:w="1784" w:type="dxa"/>
          </w:tcPr>
          <w:p w14:paraId="28232613" w14:textId="77777777" w:rsidR="00BE3C54" w:rsidRPr="00F46A04" w:rsidRDefault="00BE3C54" w:rsidP="00092017">
            <w:pPr>
              <w:pStyle w:val="BodyText"/>
              <w:spacing w:after="240" w:line="240" w:lineRule="auto"/>
              <w:rPr>
                <w:sz w:val="20"/>
                <w:szCs w:val="20"/>
                <w:lang w:val="en-GB"/>
              </w:rPr>
            </w:pPr>
            <w:r w:rsidRPr="00F46A04">
              <w:rPr>
                <w:sz w:val="20"/>
                <w:szCs w:val="20"/>
                <w:lang w:val="en-GB"/>
              </w:rPr>
              <w:lastRenderedPageBreak/>
              <w:t>Regulatory Compliance</w:t>
            </w:r>
          </w:p>
        </w:tc>
        <w:tc>
          <w:tcPr>
            <w:tcW w:w="8836" w:type="dxa"/>
          </w:tcPr>
          <w:p w14:paraId="67786637" w14:textId="0255A633" w:rsidR="00BE3C54" w:rsidRDefault="00BE3C54" w:rsidP="00BE3C54">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 xml:space="preserve">Oversee compliance with the FCA Conduct of Business regime with </w:t>
            </w:r>
            <w:r w:rsidR="00343DE8" w:rsidRPr="00F46A04">
              <w:rPr>
                <w:sz w:val="20"/>
                <w:szCs w:val="20"/>
                <w:lang w:val="en-GB"/>
              </w:rPr>
              <w:t>reference</w:t>
            </w:r>
            <w:r w:rsidRPr="00F46A04">
              <w:rPr>
                <w:sz w:val="20"/>
                <w:szCs w:val="20"/>
                <w:lang w:val="en-GB"/>
              </w:rPr>
              <w:t xml:space="preserve"> to the following regulatory areas: Mortgage Conduct of Business (MCOB), Insurance Conduct of Business (ICOB) and Banking Conduct of Business (BCOB).</w:t>
            </w:r>
            <w:r w:rsidR="00633908">
              <w:rPr>
                <w:sz w:val="20"/>
                <w:szCs w:val="20"/>
                <w:lang w:val="en-GB"/>
              </w:rPr>
              <w:t xml:space="preserve"> Any KPI failures should be reported to the Committee on a quarterly basis and at least annually the Committee should review the Society’s Compliance plan and the design of all KPIs. </w:t>
            </w:r>
          </w:p>
        </w:tc>
      </w:tr>
      <w:tr w:rsidR="00BE3C54" w:rsidRPr="00F46A04" w14:paraId="7626AA1A" w14:textId="77777777" w:rsidTr="00092017">
        <w:tc>
          <w:tcPr>
            <w:tcW w:w="1784" w:type="dxa"/>
          </w:tcPr>
          <w:p w14:paraId="50E17AC2" w14:textId="77777777" w:rsidR="00BE3C54" w:rsidRPr="00F46A04" w:rsidRDefault="00BE3C54" w:rsidP="00092017">
            <w:pPr>
              <w:pStyle w:val="BodyText"/>
              <w:spacing w:after="240" w:line="240" w:lineRule="auto"/>
              <w:rPr>
                <w:sz w:val="20"/>
                <w:szCs w:val="20"/>
                <w:lang w:val="en-GB"/>
              </w:rPr>
            </w:pPr>
            <w:r w:rsidRPr="00F46A04">
              <w:rPr>
                <w:sz w:val="20"/>
                <w:szCs w:val="20"/>
                <w:lang w:val="en-GB"/>
              </w:rPr>
              <w:t>Financial Crime</w:t>
            </w:r>
          </w:p>
        </w:tc>
        <w:tc>
          <w:tcPr>
            <w:tcW w:w="8836" w:type="dxa"/>
          </w:tcPr>
          <w:p w14:paraId="752F4787" w14:textId="77777777" w:rsidR="00BE3C54" w:rsidRDefault="00BE3C54" w:rsidP="00BE3C54">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Receive reports on compliance with Fraud, Bribery and Anti Money Laundering legislation.</w:t>
            </w:r>
          </w:p>
          <w:p w14:paraId="31D80B31" w14:textId="77777777" w:rsidR="00BE3C54" w:rsidRDefault="00BE3C54" w:rsidP="00BE3C54">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Receive the Compliance and MLRO Report confirming that the Society continues to comply with all relevant statutory and regulatory requirements.</w:t>
            </w:r>
          </w:p>
          <w:p w14:paraId="48322819" w14:textId="77777777" w:rsidR="00BE3C54" w:rsidRDefault="00BE3C54" w:rsidP="00BE3C54">
            <w:pPr>
              <w:pStyle w:val="BodyText"/>
              <w:widowControl/>
              <w:numPr>
                <w:ilvl w:val="0"/>
                <w:numId w:val="1"/>
              </w:numPr>
              <w:tabs>
                <w:tab w:val="clear" w:pos="720"/>
              </w:tabs>
              <w:autoSpaceDE/>
              <w:autoSpaceDN/>
              <w:adjustRightInd/>
              <w:spacing w:after="240" w:line="240" w:lineRule="auto"/>
              <w:ind w:left="249" w:hanging="249"/>
              <w:jc w:val="left"/>
              <w:rPr>
                <w:sz w:val="20"/>
                <w:szCs w:val="20"/>
                <w:lang w:val="en-GB"/>
              </w:rPr>
            </w:pPr>
            <w:r w:rsidRPr="00F46A04">
              <w:rPr>
                <w:bCs/>
                <w:sz w:val="20"/>
                <w:szCs w:val="20"/>
                <w:lang w:val="en-GB"/>
              </w:rPr>
              <w:t>Seek confirmation that the findings and recommendations of the report are implemented</w:t>
            </w:r>
          </w:p>
          <w:p w14:paraId="473923FE" w14:textId="77777777" w:rsidR="00BE3C54" w:rsidRDefault="00BE3C54" w:rsidP="00BE3C54">
            <w:pPr>
              <w:pStyle w:val="BodyText"/>
              <w:widowControl/>
              <w:numPr>
                <w:ilvl w:val="0"/>
                <w:numId w:val="1"/>
              </w:numPr>
              <w:tabs>
                <w:tab w:val="clear" w:pos="720"/>
              </w:tabs>
              <w:autoSpaceDE/>
              <w:autoSpaceDN/>
              <w:adjustRightInd/>
              <w:spacing w:after="240" w:line="240" w:lineRule="auto"/>
              <w:ind w:left="249" w:hanging="249"/>
              <w:jc w:val="left"/>
              <w:rPr>
                <w:sz w:val="20"/>
                <w:szCs w:val="20"/>
                <w:lang w:val="en-GB"/>
              </w:rPr>
            </w:pPr>
            <w:r w:rsidRPr="00F46A04">
              <w:rPr>
                <w:sz w:val="20"/>
                <w:szCs w:val="20"/>
                <w:lang w:val="en-GB"/>
              </w:rPr>
              <w:t>Ensure the resources available to the Compliance function are appropriate and adequate</w:t>
            </w:r>
            <w:r w:rsidRPr="00F46A04">
              <w:rPr>
                <w:lang w:val="en-GB"/>
              </w:rPr>
              <w:t>.</w:t>
            </w:r>
          </w:p>
        </w:tc>
      </w:tr>
      <w:tr w:rsidR="00BE3C54" w:rsidRPr="00F46A04" w14:paraId="057F613E" w14:textId="77777777" w:rsidTr="00092017">
        <w:tc>
          <w:tcPr>
            <w:tcW w:w="1784" w:type="dxa"/>
          </w:tcPr>
          <w:p w14:paraId="445897B0" w14:textId="4DB1883C" w:rsidR="00BE3C54" w:rsidRPr="00F46A04" w:rsidRDefault="00BE3C54" w:rsidP="00092017">
            <w:pPr>
              <w:pStyle w:val="BodyText"/>
              <w:spacing w:after="240" w:line="240" w:lineRule="auto"/>
              <w:rPr>
                <w:sz w:val="20"/>
                <w:szCs w:val="20"/>
                <w:lang w:val="en-GB"/>
              </w:rPr>
            </w:pPr>
            <w:r w:rsidRPr="00F46A04">
              <w:rPr>
                <w:sz w:val="20"/>
                <w:szCs w:val="20"/>
                <w:lang w:val="en-GB"/>
              </w:rPr>
              <w:t>Data Protection</w:t>
            </w:r>
            <w:r w:rsidR="004125E7">
              <w:rPr>
                <w:sz w:val="20"/>
                <w:szCs w:val="20"/>
                <w:lang w:val="en-GB"/>
              </w:rPr>
              <w:t xml:space="preserve"> and data quality</w:t>
            </w:r>
          </w:p>
        </w:tc>
        <w:tc>
          <w:tcPr>
            <w:tcW w:w="8836" w:type="dxa"/>
          </w:tcPr>
          <w:p w14:paraId="677C4C6C" w14:textId="2598A77E" w:rsidR="00BE3C54" w:rsidRDefault="00BE3C54" w:rsidP="00BE3C54">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Oversee compliance with Data Protection legislation and adherence to data security principles</w:t>
            </w:r>
            <w:r w:rsidR="004125E7">
              <w:rPr>
                <w:sz w:val="20"/>
                <w:szCs w:val="20"/>
                <w:lang w:val="en-GB"/>
              </w:rPr>
              <w:t>. Receive quarterly reports on any data protection concerns</w:t>
            </w:r>
            <w:r w:rsidR="00882A3A">
              <w:rPr>
                <w:sz w:val="20"/>
                <w:szCs w:val="20"/>
                <w:lang w:val="en-GB"/>
              </w:rPr>
              <w:t xml:space="preserve"> and incidents</w:t>
            </w:r>
            <w:r w:rsidR="004125E7">
              <w:rPr>
                <w:sz w:val="20"/>
                <w:szCs w:val="20"/>
                <w:lang w:val="en-GB"/>
              </w:rPr>
              <w:t xml:space="preserve"> from the Data protection officer.</w:t>
            </w:r>
          </w:p>
          <w:p w14:paraId="15C018AD" w14:textId="6EA6B7B8" w:rsidR="00343DE8" w:rsidRDefault="000E417B" w:rsidP="00D540BA">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Pr>
                <w:sz w:val="20"/>
                <w:szCs w:val="20"/>
                <w:lang w:val="en-GB"/>
              </w:rPr>
              <w:t>Oversee the Society’s data quality standards and ensure that Member data is being processed in line with Board, Regulatory and Legal expectations.</w:t>
            </w:r>
          </w:p>
        </w:tc>
      </w:tr>
      <w:tr w:rsidR="00BE3C54" w:rsidRPr="00F46A04" w14:paraId="66F19950" w14:textId="77777777" w:rsidTr="00092017">
        <w:tc>
          <w:tcPr>
            <w:tcW w:w="1784" w:type="dxa"/>
          </w:tcPr>
          <w:p w14:paraId="3F834002" w14:textId="77777777" w:rsidR="00BE3C54" w:rsidRPr="00F46A04" w:rsidRDefault="00BE3C54" w:rsidP="00092017">
            <w:pPr>
              <w:pStyle w:val="BodyText"/>
              <w:spacing w:after="240" w:line="240" w:lineRule="auto"/>
              <w:rPr>
                <w:sz w:val="20"/>
                <w:szCs w:val="20"/>
                <w:lang w:val="en-GB"/>
              </w:rPr>
            </w:pPr>
            <w:r w:rsidRPr="00F46A04">
              <w:rPr>
                <w:sz w:val="20"/>
                <w:szCs w:val="20"/>
                <w:lang w:val="en-GB"/>
              </w:rPr>
              <w:t>Whistleblowing</w:t>
            </w:r>
          </w:p>
        </w:tc>
        <w:tc>
          <w:tcPr>
            <w:tcW w:w="8836" w:type="dxa"/>
          </w:tcPr>
          <w:p w14:paraId="293B672B" w14:textId="77777777" w:rsidR="00BE3C54" w:rsidRDefault="00BE3C54" w:rsidP="00BE3C54">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Ensure the operation of Society policies and procedures to adequately protect the members and stakeholders ensuring fair treatment in line with Board expectation.</w:t>
            </w:r>
          </w:p>
        </w:tc>
      </w:tr>
      <w:tr w:rsidR="00BE3C54" w:rsidRPr="00F46A04" w14:paraId="17BE1D08" w14:textId="77777777" w:rsidTr="00092017">
        <w:tc>
          <w:tcPr>
            <w:tcW w:w="1784" w:type="dxa"/>
          </w:tcPr>
          <w:p w14:paraId="5D9370D8" w14:textId="77777777" w:rsidR="00BE3C54" w:rsidRPr="00F46A04" w:rsidRDefault="00BE3C54" w:rsidP="00092017">
            <w:pPr>
              <w:pStyle w:val="BodyText"/>
              <w:spacing w:after="240" w:line="240" w:lineRule="auto"/>
              <w:rPr>
                <w:sz w:val="20"/>
                <w:szCs w:val="20"/>
                <w:lang w:val="en-GB"/>
              </w:rPr>
            </w:pPr>
            <w:r w:rsidRPr="00F46A04">
              <w:rPr>
                <w:sz w:val="20"/>
                <w:szCs w:val="20"/>
                <w:lang w:val="en-GB"/>
              </w:rPr>
              <w:t>Wholesale Market</w:t>
            </w:r>
          </w:p>
        </w:tc>
        <w:tc>
          <w:tcPr>
            <w:tcW w:w="8836" w:type="dxa"/>
          </w:tcPr>
          <w:p w14:paraId="7C5D060D" w14:textId="77777777" w:rsidR="00BE3C54" w:rsidRDefault="00BE3C54" w:rsidP="00BE3C54">
            <w:pPr>
              <w:pStyle w:val="BodyText"/>
              <w:widowControl/>
              <w:numPr>
                <w:ilvl w:val="0"/>
                <w:numId w:val="1"/>
              </w:numPr>
              <w:tabs>
                <w:tab w:val="clear" w:pos="720"/>
              </w:tabs>
              <w:autoSpaceDE/>
              <w:autoSpaceDN/>
              <w:adjustRightInd/>
              <w:spacing w:after="240" w:line="240" w:lineRule="auto"/>
              <w:ind w:left="252" w:hanging="252"/>
              <w:jc w:val="left"/>
              <w:rPr>
                <w:sz w:val="20"/>
                <w:szCs w:val="20"/>
                <w:lang w:val="en-GB"/>
              </w:rPr>
            </w:pPr>
            <w:r w:rsidRPr="00F46A04">
              <w:rPr>
                <w:sz w:val="20"/>
                <w:szCs w:val="20"/>
                <w:lang w:val="en-GB"/>
              </w:rPr>
              <w:t>Ensure the operation of Society policies and procedures to adequately protect the members and stakeholders ensuring compliance with appropriate behaviours in line with the Board’s expectations.</w:t>
            </w:r>
          </w:p>
        </w:tc>
      </w:tr>
    </w:tbl>
    <w:p w14:paraId="477A7A73" w14:textId="77777777" w:rsidR="00BE3C54" w:rsidRPr="00F46A04" w:rsidRDefault="00BE3C54" w:rsidP="00BE3C54">
      <w:pPr>
        <w:spacing w:after="240" w:line="240" w:lineRule="auto"/>
        <w:rPr>
          <w:rFonts w:ascii="Arial" w:hAnsi="Arial" w:cs="Arial"/>
          <w:lang w:val="en-GB"/>
        </w:rPr>
      </w:pPr>
    </w:p>
    <w:p w14:paraId="40B8734E" w14:textId="77777777" w:rsidR="00BE3C54" w:rsidRPr="00F46A04" w:rsidRDefault="00BE3C54" w:rsidP="00BE3C54">
      <w:pPr>
        <w:spacing w:after="240" w:line="240" w:lineRule="auto"/>
        <w:rPr>
          <w:rFonts w:ascii="Arial" w:hAnsi="Arial" w:cs="Arial"/>
          <w:lang w:val="en-GB"/>
        </w:rPr>
      </w:pPr>
      <w:r w:rsidRPr="00F46A04">
        <w:rPr>
          <w:rFonts w:ascii="Arial" w:hAnsi="Arial" w:cs="Arial"/>
          <w:lang w:val="en-GB"/>
        </w:rPr>
        <w:t>Additional Committee responsibilities shall include</w:t>
      </w:r>
      <w:r>
        <w:rPr>
          <w:rFonts w:ascii="Arial" w:hAnsi="Arial" w:cs="Arial"/>
          <w:lang w:val="en-GB"/>
        </w:rPr>
        <w:t>, to</w:t>
      </w:r>
      <w:r w:rsidRPr="00F46A04">
        <w:rPr>
          <w:rFonts w:ascii="Arial" w:hAnsi="Arial" w:cs="Arial"/>
          <w:lang w:val="en-GB"/>
        </w:rPr>
        <w:t>:</w:t>
      </w:r>
    </w:p>
    <w:p w14:paraId="7F2C55E4" w14:textId="5D8B90FA" w:rsidR="00BE3C54" w:rsidRDefault="00343DE8" w:rsidP="00BE3C54">
      <w:pPr>
        <w:numPr>
          <w:ilvl w:val="0"/>
          <w:numId w:val="3"/>
        </w:numPr>
        <w:spacing w:after="240" w:line="240" w:lineRule="auto"/>
        <w:rPr>
          <w:rFonts w:ascii="Arial" w:hAnsi="Arial" w:cs="Arial"/>
          <w:lang w:val="en-GB"/>
        </w:rPr>
      </w:pPr>
      <w:r w:rsidRPr="00F46A04">
        <w:rPr>
          <w:rFonts w:ascii="Arial" w:hAnsi="Arial" w:cs="Arial"/>
          <w:lang w:val="en-GB"/>
        </w:rPr>
        <w:t xml:space="preserve">ensure </w:t>
      </w:r>
      <w:r>
        <w:rPr>
          <w:rFonts w:ascii="Arial" w:hAnsi="Arial" w:cs="Arial"/>
          <w:lang w:val="en-GB"/>
        </w:rPr>
        <w:t xml:space="preserve">that existing and emerging member engagement and </w:t>
      </w:r>
      <w:r w:rsidR="00BE3C54" w:rsidRPr="00F46A04">
        <w:rPr>
          <w:rFonts w:ascii="Arial" w:hAnsi="Arial" w:cs="Arial"/>
          <w:lang w:val="en-GB"/>
        </w:rPr>
        <w:t xml:space="preserve">conduct </w:t>
      </w:r>
      <w:r w:rsidR="008D47A3">
        <w:rPr>
          <w:rFonts w:ascii="Arial" w:hAnsi="Arial" w:cs="Arial"/>
          <w:lang w:val="en-GB"/>
        </w:rPr>
        <w:t>considerations</w:t>
      </w:r>
      <w:r w:rsidR="00BE3C54" w:rsidRPr="00F46A04">
        <w:rPr>
          <w:rFonts w:ascii="Arial" w:hAnsi="Arial" w:cs="Arial"/>
          <w:lang w:val="en-GB"/>
        </w:rPr>
        <w:t xml:space="preserve"> </w:t>
      </w:r>
      <w:r w:rsidR="00A00913">
        <w:rPr>
          <w:rFonts w:ascii="Arial" w:hAnsi="Arial" w:cs="Arial"/>
          <w:lang w:val="en-GB"/>
        </w:rPr>
        <w:t xml:space="preserve">are highlighted within the Society’s </w:t>
      </w:r>
      <w:r w:rsidR="008E588D">
        <w:rPr>
          <w:rFonts w:ascii="Arial" w:hAnsi="Arial" w:cs="Arial"/>
          <w:lang w:val="en-GB"/>
        </w:rPr>
        <w:t>Member engagement strategy</w:t>
      </w:r>
      <w:r w:rsidR="00BE3C54">
        <w:rPr>
          <w:rFonts w:ascii="Arial" w:hAnsi="Arial" w:cs="Arial"/>
          <w:lang w:val="en-GB"/>
        </w:rPr>
        <w:t>;</w:t>
      </w:r>
    </w:p>
    <w:p w14:paraId="6D09F823" w14:textId="055D25A3" w:rsidR="009233AC" w:rsidRDefault="009233AC" w:rsidP="00BE3C54">
      <w:pPr>
        <w:numPr>
          <w:ilvl w:val="0"/>
          <w:numId w:val="3"/>
        </w:numPr>
        <w:spacing w:after="240" w:line="240" w:lineRule="auto"/>
        <w:rPr>
          <w:rFonts w:ascii="Arial" w:hAnsi="Arial" w:cs="Arial"/>
          <w:lang w:val="en-GB"/>
        </w:rPr>
      </w:pPr>
      <w:r>
        <w:rPr>
          <w:rFonts w:ascii="Arial" w:hAnsi="Arial" w:cs="Arial"/>
          <w:lang w:val="en-GB"/>
        </w:rPr>
        <w:t>consider the work of the Marketing</w:t>
      </w:r>
      <w:r w:rsidR="008E588D">
        <w:rPr>
          <w:rFonts w:ascii="Arial" w:hAnsi="Arial" w:cs="Arial"/>
          <w:lang w:val="en-GB"/>
        </w:rPr>
        <w:t xml:space="preserve">, </w:t>
      </w:r>
      <w:r w:rsidR="00ED0D5B">
        <w:rPr>
          <w:rFonts w:ascii="Arial" w:hAnsi="Arial" w:cs="Arial"/>
          <w:lang w:val="en-GB"/>
        </w:rPr>
        <w:t>and</w:t>
      </w:r>
      <w:r>
        <w:rPr>
          <w:rFonts w:ascii="Arial" w:hAnsi="Arial" w:cs="Arial"/>
          <w:lang w:val="en-GB"/>
        </w:rPr>
        <w:t xml:space="preserve"> Product Committees through a review of their minutes;</w:t>
      </w:r>
    </w:p>
    <w:p w14:paraId="61798E9E" w14:textId="36D702E8" w:rsidR="00ED0D5B" w:rsidRDefault="00ED0D5B" w:rsidP="00BE3C54">
      <w:pPr>
        <w:numPr>
          <w:ilvl w:val="0"/>
          <w:numId w:val="3"/>
        </w:numPr>
        <w:spacing w:after="240" w:line="240" w:lineRule="auto"/>
        <w:rPr>
          <w:rFonts w:ascii="Arial" w:hAnsi="Arial" w:cs="Arial"/>
          <w:lang w:val="en-GB"/>
        </w:rPr>
      </w:pPr>
      <w:r>
        <w:rPr>
          <w:rFonts w:ascii="Arial" w:hAnsi="Arial" w:cs="Arial"/>
          <w:lang w:val="en-GB"/>
        </w:rPr>
        <w:t>ensure that any emerging risks or changes to existing risks are highlighted to the Risk Committee;</w:t>
      </w:r>
    </w:p>
    <w:p w14:paraId="130CEEFA" w14:textId="77777777" w:rsidR="00BE3C54" w:rsidRDefault="00BE3C54" w:rsidP="00BE3C54">
      <w:pPr>
        <w:numPr>
          <w:ilvl w:val="0"/>
          <w:numId w:val="3"/>
        </w:numPr>
        <w:spacing w:after="240" w:line="240" w:lineRule="auto"/>
        <w:rPr>
          <w:rFonts w:ascii="Arial" w:hAnsi="Arial" w:cs="Arial"/>
          <w:lang w:val="en-GB"/>
        </w:rPr>
      </w:pPr>
      <w:r>
        <w:rPr>
          <w:rFonts w:ascii="Arial" w:hAnsi="Arial" w:cs="Arial"/>
          <w:lang w:val="en-GB"/>
        </w:rPr>
        <w:t>ensure that t</w:t>
      </w:r>
      <w:r w:rsidRPr="00F46A04">
        <w:rPr>
          <w:rFonts w:ascii="Arial" w:hAnsi="Arial" w:cs="Arial"/>
          <w:lang w:val="en-GB"/>
        </w:rPr>
        <w:t>he Committee shall</w:t>
      </w:r>
      <w:r>
        <w:rPr>
          <w:rFonts w:ascii="Arial" w:hAnsi="Arial" w:cs="Arial"/>
          <w:lang w:val="en-GB"/>
        </w:rPr>
        <w:t>,</w:t>
      </w:r>
      <w:r w:rsidRPr="00F46A04">
        <w:rPr>
          <w:rFonts w:ascii="Arial" w:hAnsi="Arial" w:cs="Arial"/>
          <w:lang w:val="en-GB"/>
        </w:rPr>
        <w:t xml:space="preserve"> at least once a year</w:t>
      </w:r>
      <w:r>
        <w:rPr>
          <w:rFonts w:ascii="Arial" w:hAnsi="Arial" w:cs="Arial"/>
          <w:lang w:val="en-GB"/>
        </w:rPr>
        <w:t>,</w:t>
      </w:r>
      <w:r w:rsidRPr="00F46A04">
        <w:rPr>
          <w:rFonts w:ascii="Arial" w:hAnsi="Arial" w:cs="Arial"/>
          <w:lang w:val="en-GB"/>
        </w:rPr>
        <w:t xml:space="preserve"> review its own performance and terms of reference to ensure that it is operating effectively and if necessary recommend any changes to the Board.</w:t>
      </w:r>
    </w:p>
    <w:p w14:paraId="7238A6BD" w14:textId="77777777" w:rsidR="00BE3C54" w:rsidRDefault="00BE3C54" w:rsidP="00BE3C54">
      <w:pPr>
        <w:numPr>
          <w:ilvl w:val="0"/>
          <w:numId w:val="4"/>
        </w:numPr>
        <w:spacing w:after="240" w:line="240" w:lineRule="auto"/>
        <w:rPr>
          <w:rFonts w:ascii="Arial" w:hAnsi="Arial" w:cs="Arial"/>
          <w:u w:val="single"/>
          <w:lang w:val="en-GB"/>
        </w:rPr>
      </w:pPr>
      <w:r w:rsidRPr="00F46A04">
        <w:rPr>
          <w:rFonts w:ascii="Arial" w:hAnsi="Arial" w:cs="Arial"/>
          <w:u w:val="single"/>
          <w:lang w:val="en-GB"/>
        </w:rPr>
        <w:t>Reporting Procedures</w:t>
      </w:r>
    </w:p>
    <w:p w14:paraId="72FE1724" w14:textId="5A1F2745" w:rsidR="00BE3C54" w:rsidRPr="00F46A04" w:rsidRDefault="00BE3C54" w:rsidP="00BE3C54">
      <w:pPr>
        <w:spacing w:after="240" w:line="240" w:lineRule="auto"/>
        <w:rPr>
          <w:rFonts w:ascii="Arial" w:hAnsi="Arial" w:cs="Arial"/>
          <w:lang w:val="en-GB"/>
        </w:rPr>
      </w:pPr>
      <w:r w:rsidRPr="00F46A04">
        <w:rPr>
          <w:rFonts w:ascii="Arial" w:hAnsi="Arial" w:cs="Arial"/>
          <w:lang w:val="en-GB"/>
        </w:rPr>
        <w:t>Management will ensure that all information relevant to the discharge by the Committee of its responsibilities is provided to the Committee.  Management will also ensure that matters of material concern that are relevant to the Committees’ responsibilities are brought to the attention of the Committee on a timely basis.</w:t>
      </w:r>
    </w:p>
    <w:p w14:paraId="3296318F" w14:textId="77777777" w:rsidR="00F80993" w:rsidRDefault="00F80993"/>
    <w:sectPr w:rsidR="00F80993" w:rsidSect="0037097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CAA"/>
    <w:multiLevelType w:val="hybridMultilevel"/>
    <w:tmpl w:val="B5DAE260"/>
    <w:lvl w:ilvl="0" w:tplc="4EE2C19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F48B1"/>
    <w:multiLevelType w:val="hybridMultilevel"/>
    <w:tmpl w:val="BFE40A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D5016"/>
    <w:multiLevelType w:val="hybridMultilevel"/>
    <w:tmpl w:val="6F4E79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25761"/>
    <w:multiLevelType w:val="hybridMultilevel"/>
    <w:tmpl w:val="1146F954"/>
    <w:lvl w:ilvl="0" w:tplc="4CF0E9C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D1B4F"/>
    <w:multiLevelType w:val="hybridMultilevel"/>
    <w:tmpl w:val="D82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C4FCF"/>
    <w:multiLevelType w:val="hybridMultilevel"/>
    <w:tmpl w:val="31DE5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FC4163"/>
    <w:multiLevelType w:val="hybridMultilevel"/>
    <w:tmpl w:val="FBD0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7629"/>
    <w:multiLevelType w:val="hybridMultilevel"/>
    <w:tmpl w:val="8E40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5A37"/>
    <w:multiLevelType w:val="hybridMultilevel"/>
    <w:tmpl w:val="B14070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7D7460"/>
    <w:multiLevelType w:val="hybridMultilevel"/>
    <w:tmpl w:val="9714560C"/>
    <w:lvl w:ilvl="0" w:tplc="4EE2C19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3"/>
  </w:num>
  <w:num w:numId="6">
    <w:abstractNumId w:val="6"/>
  </w:num>
  <w:num w:numId="7">
    <w:abstractNumId w:val="4"/>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54"/>
    <w:rsid w:val="000E417B"/>
    <w:rsid w:val="00114A1C"/>
    <w:rsid w:val="00152E17"/>
    <w:rsid w:val="00163D62"/>
    <w:rsid w:val="002549DC"/>
    <w:rsid w:val="002F49F7"/>
    <w:rsid w:val="00343DE8"/>
    <w:rsid w:val="00370977"/>
    <w:rsid w:val="003A0EF5"/>
    <w:rsid w:val="004125E7"/>
    <w:rsid w:val="00465221"/>
    <w:rsid w:val="00494015"/>
    <w:rsid w:val="004B5F86"/>
    <w:rsid w:val="005157EF"/>
    <w:rsid w:val="005E091F"/>
    <w:rsid w:val="006140B5"/>
    <w:rsid w:val="00633908"/>
    <w:rsid w:val="0066451B"/>
    <w:rsid w:val="0067779B"/>
    <w:rsid w:val="006C31BB"/>
    <w:rsid w:val="00745DE4"/>
    <w:rsid w:val="007549D6"/>
    <w:rsid w:val="008767D4"/>
    <w:rsid w:val="00882A3A"/>
    <w:rsid w:val="008D47A3"/>
    <w:rsid w:val="008D4C3D"/>
    <w:rsid w:val="008E588D"/>
    <w:rsid w:val="00913F60"/>
    <w:rsid w:val="009233AC"/>
    <w:rsid w:val="009B5C1F"/>
    <w:rsid w:val="00A00913"/>
    <w:rsid w:val="00AA5E33"/>
    <w:rsid w:val="00B60C73"/>
    <w:rsid w:val="00BE3C54"/>
    <w:rsid w:val="00C3112A"/>
    <w:rsid w:val="00C50B2E"/>
    <w:rsid w:val="00CD7E5F"/>
    <w:rsid w:val="00D540BA"/>
    <w:rsid w:val="00D844E3"/>
    <w:rsid w:val="00DB547A"/>
    <w:rsid w:val="00E22A9C"/>
    <w:rsid w:val="00E63CA6"/>
    <w:rsid w:val="00E800CF"/>
    <w:rsid w:val="00EC53C3"/>
    <w:rsid w:val="00ED0D5B"/>
    <w:rsid w:val="00F652C7"/>
    <w:rsid w:val="00F80993"/>
    <w:rsid w:val="00FB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99DE"/>
  <w15:docId w15:val="{F00C24A5-6C31-4677-8CF8-8A12ECEB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54"/>
    <w:rPr>
      <w:rFonts w:asciiTheme="minorHAnsi" w:eastAsiaTheme="minorEastAsia" w:hAnsiTheme="minorHAnsi"/>
      <w:sz w:val="22"/>
      <w:lang w:val="en-US" w:bidi="en-US"/>
    </w:rPr>
  </w:style>
  <w:style w:type="paragraph" w:styleId="Heading2">
    <w:name w:val="heading 2"/>
    <w:basedOn w:val="Normal"/>
    <w:next w:val="Normal"/>
    <w:link w:val="Heading2Char"/>
    <w:uiPriority w:val="9"/>
    <w:unhideWhenUsed/>
    <w:qFormat/>
    <w:rsid w:val="00BE3C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C54"/>
    <w:rPr>
      <w:rFonts w:asciiTheme="majorHAnsi" w:eastAsiaTheme="majorEastAsia" w:hAnsiTheme="majorHAnsi" w:cstheme="majorBidi"/>
      <w:b/>
      <w:bCs/>
      <w:color w:val="4F81BD" w:themeColor="accent1"/>
      <w:sz w:val="26"/>
      <w:szCs w:val="26"/>
      <w:lang w:val="en-US" w:bidi="en-US"/>
    </w:rPr>
  </w:style>
  <w:style w:type="paragraph" w:styleId="BodyText">
    <w:name w:val="Body Text"/>
    <w:basedOn w:val="Normal"/>
    <w:link w:val="BodyTextChar"/>
    <w:rsid w:val="00BE3C54"/>
    <w:pPr>
      <w:widowControl w:val="0"/>
      <w:autoSpaceDE w:val="0"/>
      <w:autoSpaceDN w:val="0"/>
      <w:adjustRightInd w:val="0"/>
      <w:jc w:val="both"/>
    </w:pPr>
    <w:rPr>
      <w:rFonts w:ascii="Arial" w:hAnsi="Arial" w:cs="Arial"/>
    </w:rPr>
  </w:style>
  <w:style w:type="character" w:customStyle="1" w:styleId="BodyTextChar">
    <w:name w:val="Body Text Char"/>
    <w:basedOn w:val="DefaultParagraphFont"/>
    <w:link w:val="BodyText"/>
    <w:rsid w:val="00BE3C54"/>
    <w:rPr>
      <w:rFonts w:eastAsiaTheme="minorEastAsia" w:cs="Arial"/>
      <w:sz w:val="22"/>
      <w:lang w:val="en-US" w:bidi="en-US"/>
    </w:rPr>
  </w:style>
  <w:style w:type="paragraph" w:styleId="ListParagraph">
    <w:name w:val="List Paragraph"/>
    <w:basedOn w:val="Normal"/>
    <w:uiPriority w:val="34"/>
    <w:qFormat/>
    <w:rsid w:val="00BE3C54"/>
    <w:pPr>
      <w:ind w:left="720"/>
      <w:contextualSpacing/>
    </w:pPr>
  </w:style>
  <w:style w:type="paragraph" w:styleId="BalloonText">
    <w:name w:val="Balloon Text"/>
    <w:basedOn w:val="Normal"/>
    <w:link w:val="BalloonTextChar"/>
    <w:uiPriority w:val="99"/>
    <w:semiHidden/>
    <w:unhideWhenUsed/>
    <w:rsid w:val="00CD7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5F"/>
    <w:rPr>
      <w:rFonts w:ascii="Segoe UI" w:eastAsiaTheme="minorEastAsia" w:hAnsi="Segoe UI" w:cs="Segoe UI"/>
      <w:sz w:val="18"/>
      <w:szCs w:val="18"/>
      <w:lang w:val="en-US" w:bidi="en-US"/>
    </w:rPr>
  </w:style>
  <w:style w:type="character" w:styleId="CommentReference">
    <w:name w:val="annotation reference"/>
    <w:basedOn w:val="DefaultParagraphFont"/>
    <w:uiPriority w:val="99"/>
    <w:semiHidden/>
    <w:unhideWhenUsed/>
    <w:rsid w:val="00494015"/>
    <w:rPr>
      <w:sz w:val="16"/>
      <w:szCs w:val="16"/>
    </w:rPr>
  </w:style>
  <w:style w:type="paragraph" w:styleId="CommentText">
    <w:name w:val="annotation text"/>
    <w:basedOn w:val="Normal"/>
    <w:link w:val="CommentTextChar"/>
    <w:uiPriority w:val="99"/>
    <w:semiHidden/>
    <w:unhideWhenUsed/>
    <w:rsid w:val="00494015"/>
    <w:pPr>
      <w:spacing w:line="240" w:lineRule="auto"/>
    </w:pPr>
    <w:rPr>
      <w:sz w:val="20"/>
      <w:szCs w:val="20"/>
    </w:rPr>
  </w:style>
  <w:style w:type="character" w:customStyle="1" w:styleId="CommentTextChar">
    <w:name w:val="Comment Text Char"/>
    <w:basedOn w:val="DefaultParagraphFont"/>
    <w:link w:val="CommentText"/>
    <w:uiPriority w:val="99"/>
    <w:semiHidden/>
    <w:rsid w:val="00494015"/>
    <w:rPr>
      <w:rFonts w:asciiTheme="minorHAnsi" w:eastAsiaTheme="minorEastAsia" w:hAnsiTheme="minorHAnsi"/>
      <w:sz w:val="20"/>
      <w:szCs w:val="20"/>
      <w:lang w:val="en-US" w:bidi="en-US"/>
    </w:rPr>
  </w:style>
  <w:style w:type="paragraph" w:styleId="CommentSubject">
    <w:name w:val="annotation subject"/>
    <w:basedOn w:val="CommentText"/>
    <w:next w:val="CommentText"/>
    <w:link w:val="CommentSubjectChar"/>
    <w:uiPriority w:val="99"/>
    <w:semiHidden/>
    <w:unhideWhenUsed/>
    <w:rsid w:val="00494015"/>
    <w:rPr>
      <w:b/>
      <w:bCs/>
    </w:rPr>
  </w:style>
  <w:style w:type="character" w:customStyle="1" w:styleId="CommentSubjectChar">
    <w:name w:val="Comment Subject Char"/>
    <w:basedOn w:val="CommentTextChar"/>
    <w:link w:val="CommentSubject"/>
    <w:uiPriority w:val="99"/>
    <w:semiHidden/>
    <w:rsid w:val="00494015"/>
    <w:rPr>
      <w:rFonts w:asciiTheme="minorHAnsi" w:eastAsiaTheme="minorEastAsia" w:hAnsiTheme="minorHAnsi"/>
      <w:b/>
      <w:bCs/>
      <w:sz w:val="20"/>
      <w:szCs w:val="20"/>
      <w:lang w:val="en-US" w:bidi="en-US"/>
    </w:rPr>
  </w:style>
  <w:style w:type="paragraph" w:customStyle="1" w:styleId="Default">
    <w:name w:val="Default"/>
    <w:rsid w:val="006C31BB"/>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noboyle</dc:creator>
  <cp:lastModifiedBy>Lucy Speer</cp:lastModifiedBy>
  <cp:revision>2</cp:revision>
  <cp:lastPrinted>2018-12-05T11:23:00Z</cp:lastPrinted>
  <dcterms:created xsi:type="dcterms:W3CDTF">2019-07-31T08:02:00Z</dcterms:created>
  <dcterms:modified xsi:type="dcterms:W3CDTF">2019-07-31T08:02:00Z</dcterms:modified>
</cp:coreProperties>
</file>